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6E687">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w:t>
      </w:r>
      <w:r>
        <w:rPr>
          <w:rFonts w:hint="eastAsia" w:ascii="Arial" w:hAnsi="Arial" w:eastAsia="宋体" w:cs="Arial"/>
          <w:b/>
          <w:kern w:val="0"/>
          <w:sz w:val="24"/>
          <w:szCs w:val="24"/>
          <w:lang w:val="en-US" w:eastAsia="zh-CN"/>
        </w:rPr>
        <w:t>6</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w:t>
      </w:r>
      <w:r>
        <w:rPr>
          <w:rFonts w:hint="eastAsia" w:ascii="Arial" w:hAnsi="Arial" w:eastAsia="宋体" w:cs="Arial"/>
          <w:b/>
          <w:kern w:val="0"/>
          <w:sz w:val="22"/>
          <w:lang w:val="en-US" w:eastAsia="zh-CN"/>
        </w:rPr>
        <w:t>06963</w:t>
      </w:r>
    </w:p>
    <w:p w14:paraId="08265052">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 xml:space="preserve">Maastricht, </w:t>
      </w:r>
      <w:r>
        <w:rPr>
          <w:rFonts w:hint="eastAsia" w:ascii="Arial" w:hAnsi="Arial" w:eastAsia="宋体" w:cs="Arial"/>
          <w:b/>
          <w:bCs/>
          <w:kern w:val="0"/>
          <w:sz w:val="24"/>
          <w:szCs w:val="24"/>
          <w:lang w:val="en-US" w:eastAsia="zh-CN"/>
        </w:rPr>
        <w:t>NL,</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August</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19</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3</w:t>
      </w:r>
      <w:r>
        <w:rPr>
          <w:rFonts w:hint="eastAsia" w:ascii="Arial" w:hAnsi="Arial" w:eastAsia="宋体" w:cs="Arial"/>
          <w:b/>
          <w:bCs/>
          <w:kern w:val="0"/>
          <w:sz w:val="24"/>
          <w:szCs w:val="24"/>
          <w:vertAlign w:val="superscript"/>
          <w:lang w:val="en-US" w:eastAsia="zh-CN"/>
        </w:rPr>
        <w:t>rd</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14:paraId="153889D4">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12E4DCD7">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1.2.2</w:t>
      </w:r>
    </w:p>
    <w:p w14:paraId="0AFEC942">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9F435AE">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LCM for UE-sided model for BM</w:t>
      </w:r>
    </w:p>
    <w:p w14:paraId="77AA7886">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509CEA55">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2BD8943E">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2A808A9F">
      <w:pPr>
        <w:widowControl/>
        <w:spacing w:after="180"/>
        <w:rPr>
          <w:rFonts w:ascii="Arial" w:hAnsi="Arial" w:eastAsia="宋体" w:cs="Arial"/>
          <w:kern w:val="0"/>
          <w:sz w:val="20"/>
          <w:szCs w:val="20"/>
          <w:lang w:val="en-GB" w:eastAsia="en-US"/>
        </w:rPr>
      </w:pPr>
      <w:r>
        <w:rPr>
          <w:rFonts w:hint="eastAsia" w:ascii="Arial" w:hAnsi="Arial" w:cs="Arial"/>
          <w:sz w:val="20"/>
          <w:szCs w:val="20"/>
          <w:lang w:val="en-US" w:eastAsia="zh-CN"/>
        </w:rPr>
        <w:t>In last meeting [1], RAN2 discussed the LCM for UE-sided model and achieved the following agreements</w:t>
      </w:r>
      <w:r>
        <w:rPr>
          <w:rFonts w:hint="eastAsia" w:ascii="Arial" w:hAnsi="Arial" w:cs="Arial"/>
          <w:sz w:val="20"/>
          <w:szCs w:val="20"/>
        </w:rPr>
        <w:t>.</w:t>
      </w:r>
      <w:r>
        <w:rPr>
          <w:rFonts w:ascii="Arial" w:hAnsi="Arial" w:eastAsia="宋体" w:cs="Arial"/>
          <w:kern w:val="0"/>
          <w:sz w:val="20"/>
          <w:szCs w:val="20"/>
          <w:lang w:val="en-GB" w:eastAsia="en-US"/>
        </w:rPr>
        <w:t xml:space="preserve"> </w:t>
      </w:r>
    </w:p>
    <w:p w14:paraId="1A3DC029">
      <w:pPr>
        <w:pStyle w:val="25"/>
        <w:pBdr>
          <w:top w:val="single" w:color="auto" w:sz="4" w:space="1"/>
          <w:left w:val="single" w:color="auto" w:sz="4" w:space="4"/>
          <w:bottom w:val="single" w:color="auto" w:sz="4" w:space="1"/>
          <w:right w:val="single" w:color="auto" w:sz="4" w:space="4"/>
        </w:pBdr>
        <w:rPr>
          <w:rFonts w:hint="default" w:ascii="Arial" w:hAnsi="Arial" w:cs="Arial"/>
          <w:b/>
          <w:bCs/>
          <w:iCs/>
          <w:sz w:val="20"/>
          <w:szCs w:val="22"/>
        </w:rPr>
      </w:pPr>
      <w:r>
        <w:rPr>
          <w:rFonts w:hint="default" w:ascii="Arial" w:hAnsi="Arial" w:cs="Arial"/>
          <w:b/>
          <w:bCs/>
          <w:iCs/>
          <w:sz w:val="20"/>
          <w:szCs w:val="22"/>
        </w:rPr>
        <w:t>Agreements</w:t>
      </w:r>
    </w:p>
    <w:p w14:paraId="00583B3B">
      <w:pPr>
        <w:pStyle w:val="25"/>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1</w:t>
      </w:r>
      <w:r>
        <w:rPr>
          <w:rFonts w:hint="default" w:ascii="Arial" w:hAnsi="Arial" w:cs="Arial"/>
          <w:sz w:val="20"/>
          <w:szCs w:val="22"/>
        </w:rPr>
        <w:tab/>
      </w:r>
      <w:r>
        <w:rPr>
          <w:rFonts w:hint="default" w:ascii="Arial" w:hAnsi="Arial" w:cs="Arial"/>
          <w:sz w:val="20"/>
          <w:szCs w:val="22"/>
        </w:rPr>
        <w:t xml:space="preserve">RAN2 will support functionality activation/deactivation after inference configuration.   FFS </w:t>
      </w:r>
      <w:r>
        <w:rPr>
          <w:rFonts w:hint="default" w:ascii="Arial" w:hAnsi="Arial" w:cs="Arial"/>
          <w:color w:val="auto"/>
          <w:sz w:val="20"/>
          <w:szCs w:val="22"/>
        </w:rPr>
        <w:t>initial state</w:t>
      </w:r>
      <w:r>
        <w:rPr>
          <w:rFonts w:hint="default" w:ascii="Arial" w:hAnsi="Arial" w:cs="Arial"/>
          <w:sz w:val="20"/>
          <w:szCs w:val="22"/>
        </w:rPr>
        <w:t xml:space="preserve"> of configuration and how activation/deactivation is achieved.   FFS what Deactivation refers to:  examples discussed: 1) fallback to legacy 2) switching, etc.   </w:t>
      </w:r>
    </w:p>
    <w:p w14:paraId="5A94DF80">
      <w:pPr>
        <w:pStyle w:val="25"/>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2</w:t>
      </w:r>
      <w:r>
        <w:rPr>
          <w:rFonts w:hint="default" w:ascii="Arial" w:hAnsi="Arial" w:cs="Arial"/>
          <w:sz w:val="20"/>
          <w:szCs w:val="22"/>
        </w:rPr>
        <w:tab/>
      </w:r>
      <w:r>
        <w:rPr>
          <w:rFonts w:hint="default" w:ascii="Arial" w:hAnsi="Arial" w:cs="Arial"/>
          <w:sz w:val="20"/>
          <w:szCs w:val="22"/>
        </w:rPr>
        <w:t xml:space="preserve">We will work offline on the definitions for functionality types and define what is availability.  </w:t>
      </w:r>
    </w:p>
    <w:p w14:paraId="5DEF4987">
      <w:pPr>
        <w:pStyle w:val="25"/>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3</w:t>
      </w:r>
      <w:r>
        <w:rPr>
          <w:rFonts w:hint="default" w:ascii="Arial" w:hAnsi="Arial" w:cs="Arial"/>
          <w:sz w:val="20"/>
          <w:szCs w:val="22"/>
        </w:rPr>
        <w:tab/>
      </w:r>
      <w:r>
        <w:rPr>
          <w:rFonts w:hint="default" w:ascii="Arial" w:hAnsi="Arial" w:cs="Arial"/>
          <w:sz w:val="20"/>
          <w:szCs w:val="22"/>
        </w:rPr>
        <w:t xml:space="preserve">The UE will indicate the gNB/LMF whether the AI/ML functionality is </w:t>
      </w:r>
      <w:r>
        <w:rPr>
          <w:rFonts w:hint="default" w:ascii="Arial" w:hAnsi="Arial" w:cs="Arial"/>
          <w:sz w:val="20"/>
          <w:szCs w:val="22"/>
          <w:highlight w:val="none"/>
        </w:rPr>
        <w:t>available</w:t>
      </w:r>
      <w:r>
        <w:rPr>
          <w:rFonts w:hint="default" w:ascii="Arial" w:hAnsi="Arial" w:cs="Arial"/>
          <w:sz w:val="20"/>
          <w:szCs w:val="22"/>
        </w:rPr>
        <w:t xml:space="preserve">/applicable.   For a functionality to be applicable at least there should at least one model available within it.   FFS other details on what is applicability/non-applicability.   </w:t>
      </w:r>
    </w:p>
    <w:p w14:paraId="5C83CC5B">
      <w:pPr>
        <w:pStyle w:val="25"/>
        <w:pBdr>
          <w:top w:val="single" w:color="auto" w:sz="4" w:space="1"/>
          <w:left w:val="single" w:color="auto" w:sz="4" w:space="4"/>
          <w:bottom w:val="single" w:color="auto" w:sz="4" w:space="1"/>
          <w:right w:val="single" w:color="auto" w:sz="4" w:space="4"/>
        </w:pBdr>
        <w:rPr>
          <w:rFonts w:hint="default" w:ascii="Arial" w:hAnsi="Arial" w:eastAsia="宋体" w:cs="Arial"/>
          <w:sz w:val="20"/>
          <w:szCs w:val="22"/>
          <w:lang w:eastAsia="zh-CN"/>
        </w:rPr>
      </w:pPr>
      <w:r>
        <w:rPr>
          <w:rFonts w:hint="default" w:ascii="Arial" w:hAnsi="Arial" w:cs="Arial"/>
          <w:sz w:val="20"/>
          <w:szCs w:val="22"/>
        </w:rPr>
        <w:t>4</w:t>
      </w:r>
      <w:r>
        <w:rPr>
          <w:rFonts w:hint="default" w:ascii="Arial" w:hAnsi="Arial" w:cs="Arial"/>
          <w:sz w:val="20"/>
          <w:szCs w:val="22"/>
        </w:rPr>
        <w:tab/>
      </w:r>
      <w:r>
        <w:rPr>
          <w:rFonts w:hint="default" w:ascii="Arial" w:hAnsi="Arial" w:cs="Arial"/>
          <w:sz w:val="20"/>
          <w:szCs w:val="22"/>
        </w:rPr>
        <w:t>For NW-side additional conditions, RAN2 assumes that RRC signaling from gNB to UE can be designed for consistency between inference and training.  RAN2 will wait for RAN1 input for further details.   FFS if the same applies to positioning</w:t>
      </w:r>
    </w:p>
    <w:p w14:paraId="506F0FB9">
      <w:pPr>
        <w:pStyle w:val="25"/>
        <w:pBdr>
          <w:top w:val="single" w:color="auto" w:sz="4" w:space="1"/>
          <w:left w:val="single" w:color="auto" w:sz="4" w:space="4"/>
          <w:bottom w:val="single" w:color="auto" w:sz="4" w:space="1"/>
          <w:right w:val="single" w:color="auto" w:sz="4" w:space="4"/>
        </w:pBdr>
        <w:rPr>
          <w:rFonts w:hint="default" w:ascii="Arial" w:hAnsi="Arial" w:cs="Arial"/>
          <w:i w:val="0"/>
          <w:iCs/>
          <w:sz w:val="20"/>
          <w:szCs w:val="21"/>
        </w:rPr>
      </w:pPr>
      <w:r>
        <w:rPr>
          <w:rFonts w:hint="default" w:ascii="Arial" w:hAnsi="Arial" w:cs="Arial"/>
          <w:sz w:val="20"/>
          <w:szCs w:val="22"/>
        </w:rPr>
        <w:t>5</w:t>
      </w:r>
      <w:r>
        <w:rPr>
          <w:rFonts w:hint="default" w:ascii="Arial" w:hAnsi="Arial" w:cs="Arial"/>
          <w:sz w:val="20"/>
          <w:szCs w:val="22"/>
        </w:rPr>
        <w:tab/>
      </w:r>
      <w:r>
        <w:rPr>
          <w:rFonts w:hint="default" w:ascii="Arial" w:hAnsi="Arial" w:cs="Arial"/>
          <w:sz w:val="20"/>
          <w:szCs w:val="22"/>
        </w:rPr>
        <w:t>For BM use case, As a baseline the UE determines whether a functionality is applicable.  Existing UAI framework is used at least for proactive reporting of applicable functionality.  FFS reactive</w:t>
      </w:r>
    </w:p>
    <w:p w14:paraId="02213538">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eastAsia="宋体" w:cs="Arial"/>
          <w:kern w:val="0"/>
          <w:sz w:val="20"/>
          <w:szCs w:val="20"/>
          <w:lang w:val="en-US" w:eastAsia="zh-CN"/>
        </w:rPr>
        <w:t>focus on the</w:t>
      </w:r>
      <w:r>
        <w:rPr>
          <w:rFonts w:hint="eastAsia" w:ascii="Arial" w:hAnsi="Arial" w:eastAsia="宋体" w:cs="Arial"/>
          <w:kern w:val="0"/>
          <w:sz w:val="20"/>
          <w:szCs w:val="20"/>
        </w:rPr>
        <w:t xml:space="preserve"> </w:t>
      </w:r>
      <w:r>
        <w:rPr>
          <w:rFonts w:hint="eastAsia" w:ascii="Arial" w:hAnsi="Arial" w:eastAsia="宋体" w:cs="Arial"/>
          <w:i w:val="0"/>
          <w:iCs/>
          <w:sz w:val="20"/>
          <w:szCs w:val="21"/>
          <w:lang w:val="en-US" w:eastAsia="zh-CN"/>
        </w:rPr>
        <w:t>UE</w:t>
      </w:r>
      <w:r>
        <w:rPr>
          <w:rFonts w:hint="eastAsia" w:ascii="Arial" w:hAnsi="Arial" w:eastAsia="宋体" w:cs="Arial"/>
          <w:kern w:val="0"/>
          <w:sz w:val="20"/>
          <w:szCs w:val="20"/>
          <w:lang w:val="en-US" w:eastAsia="zh-CN"/>
        </w:rPr>
        <w:t>-sided model LCM for beam management use case</w:t>
      </w:r>
      <w:r>
        <w:rPr>
          <w:rFonts w:ascii="Arial" w:hAnsi="Arial" w:eastAsia="宋体" w:cs="Arial"/>
          <w:kern w:val="0"/>
          <w:sz w:val="20"/>
          <w:szCs w:val="20"/>
          <w:lang w:val="en-GB"/>
        </w:rPr>
        <w:t>.</w:t>
      </w:r>
    </w:p>
    <w:p w14:paraId="76131D78">
      <w:pPr>
        <w:keepNext/>
        <w:keepLines/>
        <w:widowControl/>
        <w:numPr>
          <w:ilvl w:val="0"/>
          <w:numId w:val="6"/>
        </w:numPr>
        <w:pBdr>
          <w:top w:val="single" w:color="auto" w:sz="12" w:space="3"/>
        </w:pBdr>
        <w:spacing w:before="240" w:after="180"/>
        <w:ind w:left="1134" w:hanging="1134"/>
        <w:jc w:val="left"/>
        <w:outlineLvl w:val="0"/>
        <w:rPr>
          <w:rFonts w:hint="default" w:ascii="Arial" w:hAnsi="Arial" w:cs="Arial"/>
          <w:b/>
          <w:bCs w:val="0"/>
          <w:sz w:val="28"/>
          <w:szCs w:val="28"/>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2EE4F47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Applicable functionality reporting</w:t>
      </w:r>
    </w:p>
    <w:p w14:paraId="250BDEEC">
      <w:pPr>
        <w:numPr>
          <w:ilvl w:val="0"/>
          <w:numId w:val="0"/>
        </w:numPr>
        <w:spacing w:before="120" w:beforeLines="50" w:after="120" w:line="260" w:lineRule="exact"/>
        <w:rPr>
          <w:rFonts w:hint="default" w:ascii="Arial" w:hAnsi="Arial" w:cs="Arial"/>
          <w:sz w:val="20"/>
          <w:szCs w:val="20"/>
          <w:lang w:val="en-US" w:eastAsia="zh-CN"/>
        </w:rPr>
      </w:pPr>
      <w:r>
        <w:rPr>
          <w:rFonts w:hint="eastAsia" w:ascii="Arial" w:hAnsi="Arial" w:cs="Arial"/>
          <w:sz w:val="20"/>
          <w:szCs w:val="20"/>
          <w:lang w:val="en-US" w:eastAsia="zh-CN"/>
        </w:rPr>
        <w:t>During the post email discussion [2], RAN2 discussed the details of proactive and reactive reporting of applicable functionality, but some issues are still FFS. The basic flow for applicable functionality reporting is illustrated as Figure 1 [2].</w:t>
      </w:r>
    </w:p>
    <w:p w14:paraId="1B84F780">
      <w:pPr>
        <w:numPr>
          <w:ilvl w:val="0"/>
          <w:numId w:val="0"/>
        </w:numPr>
        <w:spacing w:before="120" w:beforeLines="50" w:after="120" w:line="240" w:lineRule="auto"/>
      </w:pPr>
      <w:r>
        <w:drawing>
          <wp:inline distT="0" distB="0" distL="114300" distR="114300">
            <wp:extent cx="2932430" cy="213487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4"/>
                    <a:stretch>
                      <a:fillRect/>
                    </a:stretch>
                  </pic:blipFill>
                  <pic:spPr>
                    <a:xfrm>
                      <a:off x="0" y="0"/>
                      <a:ext cx="2932430" cy="2134870"/>
                    </a:xfrm>
                    <a:prstGeom prst="rect">
                      <a:avLst/>
                    </a:prstGeom>
                    <a:noFill/>
                    <a:ln>
                      <a:noFill/>
                    </a:ln>
                  </pic:spPr>
                </pic:pic>
              </a:graphicData>
            </a:graphic>
          </wp:inline>
        </w:drawing>
      </w:r>
      <w:r>
        <w:drawing>
          <wp:inline distT="0" distB="0" distL="114300" distR="114300">
            <wp:extent cx="2945765" cy="2138680"/>
            <wp:effectExtent l="0" t="0" r="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5"/>
                    <a:stretch>
                      <a:fillRect/>
                    </a:stretch>
                  </pic:blipFill>
                  <pic:spPr>
                    <a:xfrm>
                      <a:off x="0" y="0"/>
                      <a:ext cx="2945765" cy="2138680"/>
                    </a:xfrm>
                    <a:prstGeom prst="rect">
                      <a:avLst/>
                    </a:prstGeom>
                    <a:noFill/>
                    <a:ln>
                      <a:noFill/>
                    </a:ln>
                  </pic:spPr>
                </pic:pic>
              </a:graphicData>
            </a:graphic>
          </wp:inline>
        </w:drawing>
      </w:r>
    </w:p>
    <w:p w14:paraId="4AC5B8B1">
      <w:pPr>
        <w:numPr>
          <w:ilvl w:val="0"/>
          <w:numId w:val="7"/>
        </w:numPr>
        <w:spacing w:before="120" w:beforeLines="50" w:after="120" w:line="240" w:lineRule="auto"/>
        <w:jc w:val="center"/>
        <w:rPr>
          <w:rFonts w:hint="default" w:ascii="Arial" w:hAnsi="Arial" w:cs="Arial" w:eastAsiaTheme="minorEastAsia"/>
          <w:b w:val="0"/>
          <w:bCs w:val="0"/>
          <w:sz w:val="18"/>
          <w:szCs w:val="20"/>
          <w:lang w:val="en-US" w:eastAsia="zh-CN"/>
        </w:rPr>
      </w:pPr>
      <w:r>
        <w:rPr>
          <w:rFonts w:hint="default" w:ascii="Arial" w:hAnsi="Arial" w:cs="Arial"/>
          <w:b w:val="0"/>
          <w:bCs w:val="0"/>
          <w:sz w:val="18"/>
          <w:szCs w:val="20"/>
          <w:lang w:val="en-US" w:eastAsia="zh-CN"/>
        </w:rPr>
        <w:t xml:space="preserve">Proactive reporting </w:t>
      </w:r>
      <w:r>
        <w:rPr>
          <w:rFonts w:hint="eastAsia" w:ascii="Arial" w:hAnsi="Arial" w:cs="Arial"/>
          <w:b w:val="0"/>
          <w:bCs w:val="0"/>
          <w:sz w:val="18"/>
          <w:szCs w:val="20"/>
          <w:lang w:val="en-US" w:eastAsia="zh-CN"/>
        </w:rPr>
        <w:t xml:space="preserve">                      </w:t>
      </w:r>
      <w:r>
        <w:rPr>
          <w:rFonts w:hint="default" w:ascii="Arial" w:hAnsi="Arial" w:cs="Arial"/>
          <w:b w:val="0"/>
          <w:bCs w:val="0"/>
          <w:sz w:val="18"/>
          <w:szCs w:val="20"/>
          <w:lang w:val="en-US" w:eastAsia="zh-CN"/>
        </w:rPr>
        <w:t xml:space="preserve">  b) Reactive reporting</w:t>
      </w:r>
    </w:p>
    <w:p w14:paraId="2B7DB22F">
      <w:pPr>
        <w:numPr>
          <w:ilvl w:val="0"/>
          <w:numId w:val="0"/>
        </w:numPr>
        <w:spacing w:before="120" w:beforeLines="50" w:after="120" w:line="240" w:lineRule="auto"/>
        <w:jc w:val="center"/>
        <w:rPr>
          <w:rFonts w:hint="eastAsia" w:ascii="Arial" w:hAnsi="Arial" w:cs="Arial"/>
          <w:b/>
          <w:bCs/>
          <w:sz w:val="18"/>
          <w:szCs w:val="20"/>
          <w:lang w:val="en-US" w:eastAsia="zh-CN"/>
        </w:rPr>
      </w:pPr>
      <w:r>
        <w:rPr>
          <w:rFonts w:hint="eastAsia" w:ascii="Arial" w:hAnsi="Arial" w:cs="Arial"/>
          <w:b/>
          <w:bCs/>
          <w:sz w:val="18"/>
          <w:szCs w:val="20"/>
          <w:lang w:val="en-US" w:eastAsia="zh-CN"/>
        </w:rPr>
        <w:t>Figure 1. Basic flow for applicable functionality reporting</w:t>
      </w:r>
    </w:p>
    <w:p w14:paraId="5E5DE5F9">
      <w:pPr>
        <w:numPr>
          <w:ilvl w:val="0"/>
          <w:numId w:val="0"/>
        </w:numPr>
        <w:spacing w:before="120" w:beforeLines="50" w:after="120" w:line="260" w:lineRule="exact"/>
        <w:rPr>
          <w:rFonts w:hint="default" w:ascii="Arial" w:hAnsi="Arial" w:cs="Arial"/>
          <w:b/>
          <w:bCs/>
          <w:i/>
          <w:iCs/>
          <w:sz w:val="20"/>
          <w:szCs w:val="20"/>
          <w:lang w:val="en-US" w:eastAsia="zh-CN"/>
        </w:rPr>
      </w:pPr>
      <w:r>
        <w:rPr>
          <w:rFonts w:hint="eastAsia" w:ascii="Arial" w:hAnsi="Arial" w:cs="Arial"/>
          <w:b/>
          <w:bCs/>
          <w:i/>
          <w:iCs/>
          <w:sz w:val="20"/>
          <w:szCs w:val="20"/>
          <w:u w:val="single"/>
          <w:lang w:val="en-US" w:eastAsia="zh-CN"/>
        </w:rPr>
        <w:t>Issue#1: FFS on inference configuration of supported functionalities in step 3</w:t>
      </w:r>
    </w:p>
    <w:p w14:paraId="1708CB12">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 xml:space="preserve">During the email discussion [2], some companies proposed that inference configuration should be provided in step 3. However, before step 4 (i.e. applicable functionality reporting), the inference configurations are provided by network based on supported functionalities of UE. Since the supported functionalities maybe not applicable in UE side, e.g. there is no available model within UE, some inference configurations will be not applied for further inference, which will cause unnecessary signaling overhead. </w:t>
      </w:r>
    </w:p>
    <w:p w14:paraId="1B8078AB">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Observation 1: Providing the inference configuration based on supported functionality will cause unnecessary signaling overhead.</w:t>
      </w:r>
    </w:p>
    <w:p w14:paraId="67B94F1B">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To avoid unnecessary signaling overhead, we think that the inference configuration should be provided after UE reports the applicable functionality. That is, inference configuration is not provided in step 3.</w:t>
      </w:r>
    </w:p>
    <w:p w14:paraId="622DEBC4">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Proposal 1: The inference configuration should be provided after UE reports the applicable functionality, i.e. inference configuration is not provided in step 3.</w:t>
      </w:r>
    </w:p>
    <w:p w14:paraId="3153DDFC">
      <w:pPr>
        <w:numPr>
          <w:ilvl w:val="0"/>
          <w:numId w:val="0"/>
        </w:numPr>
        <w:spacing w:before="120" w:beforeLines="50" w:after="120" w:line="260" w:lineRule="exact"/>
        <w:rPr>
          <w:rFonts w:hint="default" w:ascii="Arial" w:hAnsi="Arial" w:cs="Arial"/>
          <w:sz w:val="20"/>
          <w:szCs w:val="20"/>
          <w:lang w:val="en-US" w:eastAsia="zh-CN"/>
        </w:rPr>
      </w:pPr>
      <w:r>
        <w:rPr>
          <w:rFonts w:hint="eastAsia" w:ascii="Arial" w:hAnsi="Arial" w:cs="Arial"/>
          <w:b/>
          <w:bCs/>
          <w:i/>
          <w:iCs/>
          <w:sz w:val="20"/>
          <w:szCs w:val="20"/>
          <w:u w:val="single"/>
          <w:lang w:val="en-US" w:eastAsia="zh-CN"/>
        </w:rPr>
        <w:t>Issue#2: FFS on signaling of NW-side additional condition</w:t>
      </w:r>
    </w:p>
    <w:p w14:paraId="452B5187">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 xml:space="preserve">In last meeting, RAN2 agreed that as a baseline </w:t>
      </w:r>
      <w:r>
        <w:rPr>
          <w:rFonts w:hint="default" w:ascii="Arial" w:hAnsi="Arial" w:cs="Arial"/>
          <w:sz w:val="20"/>
          <w:szCs w:val="22"/>
        </w:rPr>
        <w:t>UE determines whether a functionality is applicable</w:t>
      </w:r>
      <w:r>
        <w:rPr>
          <w:rFonts w:hint="eastAsia" w:ascii="Arial" w:hAnsi="Arial" w:cs="Arial"/>
          <w:sz w:val="20"/>
          <w:szCs w:val="22"/>
          <w:lang w:val="en-US" w:eastAsia="zh-CN"/>
        </w:rPr>
        <w:t>.</w:t>
      </w:r>
      <w:r>
        <w:rPr>
          <w:rFonts w:hint="eastAsia" w:ascii="Arial" w:hAnsi="Arial" w:cs="Arial"/>
          <w:sz w:val="20"/>
          <w:szCs w:val="20"/>
          <w:lang w:val="en-US" w:eastAsia="zh-CN"/>
        </w:rPr>
        <w:t xml:space="preserve"> and for NW-side additional conditions, RAN2 assumes that RRC signaling from gNB to UE can be designed for consistency between inference and training.</w:t>
      </w:r>
    </w:p>
    <w:p w14:paraId="48916095">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 xml:space="preserve">As per RAN1 agreements, although the details of relationship between model ID(s) and the associated ID(s) are still under RAN1 discussion, we understand that a model can be associated to one or multiple associated ID(s), and an associated ID can be related to one or multiple model(s).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3EB5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E6E68A6">
            <w:pPr>
              <w:rPr>
                <w:rFonts w:hint="default" w:ascii="Times New Roman" w:hAnsi="Times New Roman" w:eastAsia="等线" w:cs="Times New Roman"/>
                <w:iCs/>
                <w:sz w:val="20"/>
                <w:szCs w:val="21"/>
                <w:highlight w:val="green"/>
                <w:lang w:eastAsia="zh-CN"/>
              </w:rPr>
            </w:pPr>
            <w:r>
              <w:rPr>
                <w:rFonts w:hint="default" w:ascii="Times New Roman" w:hAnsi="Times New Roman" w:eastAsia="等线" w:cs="Times New Roman"/>
                <w:iCs/>
                <w:sz w:val="20"/>
                <w:szCs w:val="21"/>
                <w:highlight w:val="green"/>
                <w:lang w:val="en-US" w:eastAsia="zh-CN"/>
              </w:rPr>
              <w:t xml:space="preserve">RAN1#116bis </w:t>
            </w:r>
            <w:r>
              <w:rPr>
                <w:rFonts w:hint="default" w:ascii="Times New Roman" w:hAnsi="Times New Roman" w:eastAsia="等线" w:cs="Times New Roman"/>
                <w:iCs/>
                <w:sz w:val="20"/>
                <w:szCs w:val="21"/>
                <w:highlight w:val="green"/>
                <w:lang w:eastAsia="zh-CN"/>
              </w:rPr>
              <w:t>Agreement</w:t>
            </w:r>
          </w:p>
          <w:p w14:paraId="62CEF193">
            <w:pPr>
              <w:rPr>
                <w:rFonts w:ascii="Times New Roman" w:hAnsi="Times New Roman"/>
                <w:bCs/>
                <w:sz w:val="20"/>
                <w:szCs w:val="21"/>
              </w:rPr>
            </w:pPr>
            <w:r>
              <w:rPr>
                <w:rFonts w:ascii="Times New Roman" w:hAnsi="Times New Roman"/>
                <w:bCs/>
                <w:sz w:val="20"/>
                <w:szCs w:val="21"/>
              </w:rPr>
              <w:t xml:space="preserve">From RAN1 perspective, for UE-sided model(s) developed (e.g., trained, updated) at UE side, following procedure is an example (noted as </w:t>
            </w:r>
            <w:r>
              <w:rPr>
                <w:rFonts w:ascii="Times New Roman" w:hAnsi="Times New Roman"/>
                <w:b/>
                <w:sz w:val="20"/>
                <w:szCs w:val="21"/>
              </w:rPr>
              <w:t>AI-Example1</w:t>
            </w:r>
            <w:r>
              <w:rPr>
                <w:rFonts w:ascii="Times New Roman" w:hAnsi="Times New Roman"/>
                <w:bCs/>
                <w:sz w:val="20"/>
                <w:szCs w:val="21"/>
              </w:rPr>
              <w:t>) of MI-Option1 for further study (including the feasibility/necessity)</w:t>
            </w:r>
          </w:p>
          <w:p w14:paraId="5E224084">
            <w:pPr>
              <w:numPr>
                <w:ilvl w:val="0"/>
                <w:numId w:val="8"/>
              </w:numPr>
              <w:spacing w:line="276" w:lineRule="auto"/>
              <w:jc w:val="both"/>
              <w:rPr>
                <w:rFonts w:ascii="Times New Roman" w:hAnsi="Times New Roman"/>
                <w:bCs/>
                <w:sz w:val="20"/>
                <w:szCs w:val="21"/>
              </w:rPr>
            </w:pPr>
            <w:r>
              <w:rPr>
                <w:rFonts w:ascii="Times New Roman" w:hAnsi="Times New Roman"/>
                <w:bCs/>
                <w:sz w:val="20"/>
                <w:szCs w:val="21"/>
              </w:rPr>
              <w:t xml:space="preserve">A: For data collection, NW signals the </w:t>
            </w:r>
            <w:r>
              <w:rPr>
                <w:rFonts w:ascii="Times New Roman" w:hAnsi="Times New Roman"/>
                <w:bCs/>
                <w:color w:val="auto"/>
                <w:sz w:val="20"/>
                <w:szCs w:val="21"/>
                <w:highlight w:val="none"/>
              </w:rPr>
              <w:t>data collection related configuration(s) and it/their associated ID(s)</w:t>
            </w:r>
            <w:r>
              <w:rPr>
                <w:rFonts w:hint="eastAsia" w:ascii="Times New Roman" w:hAnsi="Times New Roman" w:eastAsia="等线"/>
                <w:bCs/>
                <w:sz w:val="20"/>
                <w:szCs w:val="21"/>
                <w:lang w:eastAsia="zh-CN"/>
              </w:rPr>
              <w:t xml:space="preserve"> </w:t>
            </w:r>
          </w:p>
          <w:p w14:paraId="4E61102B">
            <w:pPr>
              <w:numPr>
                <w:ilvl w:val="1"/>
                <w:numId w:val="8"/>
              </w:numPr>
              <w:spacing w:line="276" w:lineRule="auto"/>
              <w:jc w:val="both"/>
              <w:rPr>
                <w:rFonts w:ascii="Times New Roman" w:hAnsi="Times New Roman"/>
                <w:bCs/>
                <w:sz w:val="20"/>
                <w:szCs w:val="21"/>
              </w:rPr>
            </w:pPr>
            <w:r>
              <w:rPr>
                <w:rFonts w:ascii="Times New Roman" w:hAnsi="Times New Roman"/>
                <w:bCs/>
                <w:sz w:val="20"/>
                <w:szCs w:val="21"/>
              </w:rPr>
              <w:t>Associated IDs for each sub use case in relation with NW-sided additional conditions</w:t>
            </w:r>
          </w:p>
          <w:p w14:paraId="35F83EB0">
            <w:pPr>
              <w:numPr>
                <w:ilvl w:val="0"/>
                <w:numId w:val="8"/>
              </w:numPr>
              <w:spacing w:line="276" w:lineRule="auto"/>
              <w:jc w:val="both"/>
              <w:rPr>
                <w:rFonts w:ascii="Times New Roman" w:hAnsi="Times New Roman"/>
                <w:bCs/>
                <w:strike/>
                <w:sz w:val="20"/>
                <w:szCs w:val="21"/>
              </w:rPr>
            </w:pPr>
            <w:r>
              <w:rPr>
                <w:rFonts w:ascii="Times New Roman" w:hAnsi="Times New Roman"/>
                <w:bCs/>
                <w:sz w:val="20"/>
                <w:szCs w:val="21"/>
              </w:rPr>
              <w:t xml:space="preserve">B: UE(s) collects the data corresponding to the associated ID(s)  </w:t>
            </w:r>
          </w:p>
          <w:p w14:paraId="6B1CE372">
            <w:pPr>
              <w:numPr>
                <w:ilvl w:val="0"/>
                <w:numId w:val="8"/>
              </w:numPr>
              <w:spacing w:line="276" w:lineRule="auto"/>
              <w:jc w:val="both"/>
              <w:rPr>
                <w:rFonts w:ascii="Times New Roman" w:hAnsi="Times New Roman"/>
                <w:bCs/>
                <w:strike/>
                <w:sz w:val="20"/>
                <w:szCs w:val="21"/>
              </w:rPr>
            </w:pPr>
            <w:r>
              <w:rPr>
                <w:rFonts w:ascii="Times New Roman" w:hAnsi="Times New Roman"/>
                <w:bCs/>
                <w:sz w:val="20"/>
                <w:szCs w:val="21"/>
              </w:rPr>
              <w:t xml:space="preserve">C: </w:t>
            </w:r>
            <w:r>
              <w:rPr>
                <w:rFonts w:ascii="Times New Roman" w:hAnsi="Times New Roman"/>
                <w:bCs/>
                <w:sz w:val="20"/>
                <w:szCs w:val="21"/>
                <w:highlight w:val="yellow"/>
              </w:rPr>
              <w:t>AI/ML models are developed (e.g., trained, updated) at UE side based on the collected data corresponding to the associated ID(s).</w:t>
            </w:r>
            <w:r>
              <w:rPr>
                <w:rFonts w:ascii="Times New Roman" w:hAnsi="Times New Roman"/>
                <w:bCs/>
                <w:color w:val="FF0000"/>
                <w:sz w:val="20"/>
                <w:szCs w:val="21"/>
                <w:highlight w:val="yellow"/>
              </w:rPr>
              <w:t xml:space="preserve"> </w:t>
            </w:r>
          </w:p>
          <w:p w14:paraId="49C2BDE8">
            <w:pPr>
              <w:numPr>
                <w:ilvl w:val="0"/>
                <w:numId w:val="8"/>
              </w:numPr>
              <w:spacing w:line="276" w:lineRule="auto"/>
              <w:jc w:val="both"/>
              <w:rPr>
                <w:rFonts w:ascii="Times New Roman" w:hAnsi="Times New Roman"/>
                <w:bCs/>
                <w:sz w:val="20"/>
                <w:szCs w:val="21"/>
              </w:rPr>
            </w:pPr>
            <w:r>
              <w:rPr>
                <w:rFonts w:ascii="Times New Roman" w:hAnsi="Times New Roman"/>
                <w:bCs/>
                <w:sz w:val="20"/>
                <w:szCs w:val="21"/>
              </w:rPr>
              <w:t xml:space="preserve">D: UE reports </w:t>
            </w:r>
            <w:r>
              <w:rPr>
                <w:rFonts w:ascii="Times New Roman" w:hAnsi="Times New Roman"/>
                <w:bCs/>
                <w:sz w:val="20"/>
                <w:szCs w:val="21"/>
                <w:highlight w:val="none"/>
              </w:rPr>
              <w:t xml:space="preserve">information </w:t>
            </w:r>
            <w:r>
              <w:rPr>
                <w:rFonts w:ascii="Times New Roman" w:hAnsi="Times New Roman"/>
                <w:bCs/>
                <w:sz w:val="20"/>
                <w:szCs w:val="21"/>
              </w:rPr>
              <w:t xml:space="preserve">of </w:t>
            </w:r>
            <w:r>
              <w:rPr>
                <w:rFonts w:hint="eastAsia" w:ascii="Times New Roman" w:hAnsi="Times New Roman" w:eastAsia="等线"/>
                <w:sz w:val="20"/>
                <w:szCs w:val="21"/>
                <w:lang w:eastAsia="zh-CN"/>
              </w:rPr>
              <w:t>its</w:t>
            </w:r>
            <w:r>
              <w:rPr>
                <w:rFonts w:ascii="Times New Roman" w:hAnsi="Times New Roman" w:eastAsia="MS Mincho"/>
                <w:sz w:val="20"/>
                <w:szCs w:val="21"/>
                <w:lang w:eastAsia="ja-JP"/>
              </w:rPr>
              <w:t xml:space="preserve"> AI/ML model</w:t>
            </w:r>
            <w:r>
              <w:rPr>
                <w:rFonts w:ascii="Times New Roman" w:hAnsi="Times New Roman" w:eastAsia="等线"/>
                <w:sz w:val="20"/>
                <w:szCs w:val="21"/>
                <w:lang w:eastAsia="zh-CN"/>
              </w:rPr>
              <w:t xml:space="preserve">s </w:t>
            </w:r>
            <w:r>
              <w:rPr>
                <w:rFonts w:hint="eastAsia" w:ascii="Times New Roman" w:hAnsi="Times New Roman" w:eastAsia="等线"/>
                <w:sz w:val="20"/>
                <w:szCs w:val="21"/>
                <w:lang w:eastAsia="zh-CN"/>
              </w:rPr>
              <w:t xml:space="preserve">corresponding </w:t>
            </w:r>
            <w:r>
              <w:rPr>
                <w:rFonts w:ascii="Times New Roman" w:hAnsi="Times New Roman" w:eastAsia="等线"/>
                <w:sz w:val="20"/>
                <w:szCs w:val="21"/>
                <w:lang w:eastAsia="zh-CN"/>
              </w:rPr>
              <w:t>to associated</w:t>
            </w:r>
            <w:r>
              <w:rPr>
                <w:rFonts w:hint="eastAsia" w:ascii="Times New Roman" w:hAnsi="Times New Roman" w:eastAsia="等线"/>
                <w:sz w:val="20"/>
                <w:szCs w:val="21"/>
                <w:lang w:eastAsia="zh-CN"/>
              </w:rPr>
              <w:t xml:space="preserve"> IDs to </w:t>
            </w:r>
            <w:r>
              <w:rPr>
                <w:rFonts w:ascii="Times New Roman" w:hAnsi="Times New Roman" w:eastAsia="等线"/>
                <w:sz w:val="20"/>
                <w:szCs w:val="21"/>
                <w:lang w:eastAsia="zh-CN"/>
              </w:rPr>
              <w:t>the NW.</w:t>
            </w:r>
            <w:r>
              <w:rPr>
                <w:rFonts w:hint="eastAsia" w:ascii="Times New Roman" w:hAnsi="Times New Roman" w:eastAsia="等线"/>
                <w:sz w:val="20"/>
                <w:szCs w:val="21"/>
                <w:lang w:eastAsia="zh-CN"/>
              </w:rPr>
              <w:t xml:space="preserve"> </w:t>
            </w:r>
            <w:r>
              <w:rPr>
                <w:rFonts w:ascii="Times New Roman" w:hAnsi="Times New Roman" w:eastAsia="等线"/>
                <w:sz w:val="20"/>
                <w:szCs w:val="21"/>
                <w:lang w:eastAsia="zh-CN"/>
              </w:rPr>
              <w:t>Model ID is determined/assigned for each AI/ML model</w:t>
            </w:r>
            <w:r>
              <w:rPr>
                <w:rFonts w:hint="eastAsia" w:ascii="Times New Roman" w:hAnsi="Times New Roman" w:eastAsia="等线"/>
                <w:sz w:val="20"/>
                <w:szCs w:val="21"/>
                <w:lang w:val="en-US" w:eastAsia="zh-CN"/>
              </w:rPr>
              <w:t xml:space="preserve"> </w:t>
            </w:r>
          </w:p>
          <w:p w14:paraId="05C0B8D4">
            <w:pPr>
              <w:numPr>
                <w:ilvl w:val="1"/>
                <w:numId w:val="8"/>
              </w:numPr>
              <w:spacing w:line="276" w:lineRule="auto"/>
              <w:jc w:val="both"/>
              <w:rPr>
                <w:rFonts w:ascii="Times New Roman" w:hAnsi="Times New Roman"/>
                <w:bCs/>
                <w:sz w:val="20"/>
                <w:szCs w:val="21"/>
              </w:rPr>
            </w:pPr>
            <w:r>
              <w:rPr>
                <w:rFonts w:ascii="Times New Roman" w:hAnsi="Times New Roman"/>
                <w:bCs/>
                <w:sz w:val="20"/>
                <w:szCs w:val="21"/>
              </w:rPr>
              <w:t>relationship between model ID(s) and the associated ID(s)</w:t>
            </w:r>
          </w:p>
          <w:p w14:paraId="604CB415">
            <w:pPr>
              <w:numPr>
                <w:ilvl w:val="1"/>
                <w:numId w:val="8"/>
              </w:numPr>
              <w:spacing w:line="276" w:lineRule="auto"/>
              <w:jc w:val="both"/>
              <w:rPr>
                <w:rFonts w:ascii="Times New Roman" w:hAnsi="Times New Roman"/>
                <w:bCs/>
                <w:sz w:val="20"/>
                <w:szCs w:val="21"/>
              </w:rPr>
            </w:pPr>
            <w:r>
              <w:rPr>
                <w:rFonts w:hint="eastAsia" w:ascii="Times New Roman" w:hAnsi="Times New Roman" w:eastAsia="等线"/>
                <w:bCs/>
                <w:sz w:val="20"/>
                <w:szCs w:val="21"/>
                <w:lang w:eastAsia="zh-CN"/>
              </w:rPr>
              <w:t>H</w:t>
            </w:r>
            <w:r>
              <w:rPr>
                <w:rFonts w:ascii="Times New Roman" w:hAnsi="Times New Roman"/>
                <w:bCs/>
                <w:sz w:val="20"/>
                <w:szCs w:val="21"/>
              </w:rPr>
              <w:t xml:space="preserve">ow model ID(s) is determined/assigned, e.g., </w:t>
            </w:r>
          </w:p>
          <w:p w14:paraId="03DB0B61">
            <w:pPr>
              <w:numPr>
                <w:ilvl w:val="2"/>
                <w:numId w:val="8"/>
              </w:numPr>
              <w:spacing w:line="276" w:lineRule="auto"/>
              <w:jc w:val="both"/>
              <w:rPr>
                <w:rFonts w:ascii="Times New Roman" w:hAnsi="Times New Roman"/>
                <w:bCs/>
                <w:sz w:val="20"/>
                <w:szCs w:val="21"/>
              </w:rPr>
            </w:pPr>
            <w:r>
              <w:rPr>
                <w:rFonts w:ascii="Times New Roman" w:hAnsi="Times New Roman"/>
                <w:bCs/>
                <w:sz w:val="20"/>
                <w:szCs w:val="21"/>
              </w:rPr>
              <w:t>Alt.1: NW assigns Model ID</w:t>
            </w:r>
          </w:p>
          <w:p w14:paraId="2E33F0EB">
            <w:pPr>
              <w:numPr>
                <w:ilvl w:val="2"/>
                <w:numId w:val="8"/>
              </w:numPr>
              <w:spacing w:line="276" w:lineRule="auto"/>
              <w:jc w:val="both"/>
              <w:rPr>
                <w:rFonts w:ascii="Times New Roman" w:hAnsi="Times New Roman"/>
                <w:bCs/>
                <w:sz w:val="20"/>
                <w:szCs w:val="21"/>
              </w:rPr>
            </w:pPr>
            <w:r>
              <w:rPr>
                <w:rFonts w:ascii="Times New Roman" w:hAnsi="Times New Roman"/>
                <w:bCs/>
                <w:sz w:val="20"/>
                <w:szCs w:val="21"/>
              </w:rPr>
              <w:t>Alt.2: UE assigns/reports Model ID</w:t>
            </w:r>
          </w:p>
          <w:p w14:paraId="4789B05C">
            <w:pPr>
              <w:numPr>
                <w:ilvl w:val="2"/>
                <w:numId w:val="8"/>
              </w:numPr>
              <w:spacing w:line="276" w:lineRule="auto"/>
              <w:jc w:val="both"/>
              <w:rPr>
                <w:rFonts w:ascii="Times New Roman" w:hAnsi="Times New Roman"/>
                <w:bCs/>
                <w:sz w:val="20"/>
                <w:szCs w:val="21"/>
              </w:rPr>
            </w:pPr>
            <w:r>
              <w:rPr>
                <w:rFonts w:ascii="Times New Roman" w:hAnsi="Times New Roman"/>
                <w:bCs/>
                <w:sz w:val="20"/>
                <w:szCs w:val="21"/>
              </w:rPr>
              <w:t>Alt.3: Associated ID(s) is assumed as model ID(s)</w:t>
            </w:r>
          </w:p>
          <w:p w14:paraId="1A05C990">
            <w:pPr>
              <w:numPr>
                <w:ilvl w:val="3"/>
                <w:numId w:val="8"/>
              </w:numPr>
              <w:spacing w:line="276" w:lineRule="auto"/>
              <w:jc w:val="both"/>
              <w:rPr>
                <w:rFonts w:ascii="Times New Roman" w:hAnsi="Times New Roman"/>
                <w:bCs/>
                <w:sz w:val="20"/>
                <w:szCs w:val="21"/>
              </w:rPr>
            </w:pPr>
            <w:r>
              <w:rPr>
                <w:rFonts w:ascii="Times New Roman" w:hAnsi="Times New Roman"/>
                <w:bCs/>
                <w:sz w:val="20"/>
                <w:szCs w:val="21"/>
              </w:rPr>
              <w:t>“Model ID is determined/assigned for each AI/ML model” in D is not needed</w:t>
            </w:r>
          </w:p>
          <w:p w14:paraId="75D09845">
            <w:pPr>
              <w:numPr>
                <w:ilvl w:val="2"/>
                <w:numId w:val="8"/>
              </w:numPr>
              <w:spacing w:line="276" w:lineRule="auto"/>
              <w:jc w:val="both"/>
              <w:rPr>
                <w:rFonts w:ascii="Times New Roman" w:hAnsi="Times New Roman"/>
                <w:bCs/>
                <w:sz w:val="20"/>
                <w:szCs w:val="21"/>
              </w:rPr>
            </w:pPr>
            <w:r>
              <w:rPr>
                <w:rFonts w:ascii="Times New Roman" w:hAnsi="Times New Roman"/>
                <w:bCs/>
                <w:sz w:val="20"/>
                <w:szCs w:val="21"/>
              </w:rPr>
              <w:t>Alt.4: Model ID is determined by pre-defined rule(s) in the specification</w:t>
            </w:r>
          </w:p>
          <w:p w14:paraId="0963550F">
            <w:pPr>
              <w:numPr>
                <w:ilvl w:val="1"/>
                <w:numId w:val="8"/>
              </w:numPr>
              <w:spacing w:line="276" w:lineRule="auto"/>
              <w:jc w:val="both"/>
              <w:rPr>
                <w:rFonts w:ascii="Times New Roman" w:hAnsi="Times New Roman"/>
                <w:bCs/>
                <w:sz w:val="20"/>
                <w:szCs w:val="21"/>
              </w:rPr>
            </w:pPr>
            <w:r>
              <w:rPr>
                <w:rFonts w:ascii="Times New Roman" w:hAnsi="Times New Roman"/>
                <w:bCs/>
                <w:sz w:val="20"/>
                <w:szCs w:val="21"/>
              </w:rPr>
              <w:t>FFS: how to report</w:t>
            </w:r>
          </w:p>
          <w:p w14:paraId="39A38CB7">
            <w:pPr>
              <w:numPr>
                <w:ilvl w:val="1"/>
                <w:numId w:val="8"/>
              </w:numPr>
              <w:spacing w:line="276" w:lineRule="auto"/>
              <w:jc w:val="both"/>
              <w:rPr>
                <w:rFonts w:ascii="Times New Roman" w:hAnsi="Times New Roman"/>
                <w:bCs/>
                <w:sz w:val="20"/>
                <w:szCs w:val="21"/>
              </w:rPr>
            </w:pPr>
            <w:r>
              <w:rPr>
                <w:rFonts w:ascii="Times New Roman" w:hAnsi="Times New Roman"/>
                <w:bCs/>
                <w:sz w:val="20"/>
                <w:szCs w:val="21"/>
              </w:rPr>
              <w:t>Note: D is to facilitate AI/ML model inference</w:t>
            </w:r>
          </w:p>
          <w:p w14:paraId="37C67833">
            <w:pPr>
              <w:numPr>
                <w:ilvl w:val="0"/>
                <w:numId w:val="8"/>
              </w:numPr>
              <w:spacing w:line="276" w:lineRule="auto"/>
              <w:jc w:val="both"/>
              <w:rPr>
                <w:rFonts w:hint="default" w:ascii="Arial" w:hAnsi="Arial" w:cs="Arial"/>
                <w:sz w:val="20"/>
                <w:szCs w:val="20"/>
                <w:vertAlign w:val="baseline"/>
                <w:lang w:val="en-US" w:eastAsia="zh-CN"/>
              </w:rPr>
            </w:pPr>
            <w:r>
              <w:rPr>
                <w:rFonts w:hint="eastAsia" w:ascii="Times New Roman" w:hAnsi="Times New Roman" w:eastAsia="等线"/>
                <w:bCs/>
                <w:sz w:val="20"/>
                <w:szCs w:val="21"/>
                <w:lang w:eastAsia="zh-CN"/>
              </w:rPr>
              <w:t xml:space="preserve">Note: Step A/B/C and </w:t>
            </w:r>
            <w:r>
              <w:rPr>
                <w:rFonts w:hint="eastAsia" w:ascii="Times New Roman" w:hAnsi="Times New Roman" w:eastAsia="等线"/>
                <w:bCs/>
                <w:sz w:val="20"/>
                <w:szCs w:val="21"/>
                <w:highlight w:val="none"/>
                <w:lang w:eastAsia="zh-CN"/>
              </w:rPr>
              <w:t xml:space="preserve">additional interaction of associated IDs </w:t>
            </w:r>
            <w:r>
              <w:rPr>
                <w:rFonts w:hint="eastAsia" w:ascii="Times New Roman" w:hAnsi="Times New Roman" w:eastAsia="等线"/>
                <w:bCs/>
                <w:sz w:val="20"/>
                <w:szCs w:val="21"/>
                <w:lang w:eastAsia="zh-CN"/>
              </w:rPr>
              <w:t xml:space="preserve">between UE and NW can be </w:t>
            </w:r>
            <w:r>
              <w:rPr>
                <w:rFonts w:ascii="Times New Roman" w:hAnsi="Times New Roman" w:eastAsia="等线"/>
                <w:bCs/>
                <w:sz w:val="20"/>
                <w:szCs w:val="21"/>
                <w:lang w:eastAsia="zh-CN"/>
              </w:rPr>
              <w:t>considered</w:t>
            </w:r>
            <w:r>
              <w:rPr>
                <w:rFonts w:hint="eastAsia" w:ascii="Times New Roman" w:hAnsi="Times New Roman" w:eastAsia="等线"/>
                <w:bCs/>
                <w:sz w:val="20"/>
                <w:szCs w:val="21"/>
                <w:lang w:eastAsia="zh-CN"/>
              </w:rPr>
              <w:t xml:space="preserve"> as a different solution for resolving the </w:t>
            </w:r>
            <w:r>
              <w:rPr>
                <w:rFonts w:ascii="Times New Roman" w:hAnsi="Times New Roman" w:eastAsia="等线"/>
                <w:bCs/>
                <w:sz w:val="20"/>
                <w:szCs w:val="21"/>
                <w:lang w:eastAsia="zh-CN"/>
              </w:rPr>
              <w:t>consistency</w:t>
            </w:r>
            <w:r>
              <w:rPr>
                <w:rFonts w:hint="eastAsia" w:ascii="Times New Roman" w:hAnsi="Times New Roman" w:eastAsia="等线"/>
                <w:bCs/>
                <w:sz w:val="20"/>
                <w:szCs w:val="21"/>
                <w:lang w:eastAsia="zh-CN"/>
              </w:rPr>
              <w:t xml:space="preserve"> without model identification.</w:t>
            </w:r>
          </w:p>
        </w:tc>
      </w:tr>
    </w:tbl>
    <w:p w14:paraId="058D6CE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jc w:val="both"/>
        <w:textAlignment w:val="auto"/>
        <w:rPr>
          <w:rFonts w:hint="eastAsia" w:ascii="Arial" w:hAnsi="Arial" w:cs="Arial"/>
          <w:sz w:val="20"/>
          <w:szCs w:val="20"/>
          <w:lang w:val="en-US" w:eastAsia="zh-CN"/>
        </w:rPr>
      </w:pPr>
      <w:r>
        <w:rPr>
          <w:rFonts w:hint="eastAsia" w:ascii="Arial" w:hAnsi="Arial" w:cs="Arial"/>
          <w:sz w:val="20"/>
          <w:szCs w:val="20"/>
          <w:lang w:val="en-US" w:eastAsia="zh-CN"/>
        </w:rPr>
        <w:t xml:space="preserve">During the email discussion [2], companies discussed how UE/network decide the applicable functionality. The key difference between option 1 and option 2 is whether NW provides NW-side additional condition to the UE for determining the applicable functionality. Majority of companies supported option 2, and some companies also supported option 1. </w:t>
      </w:r>
    </w:p>
    <w:p w14:paraId="5260A6C3">
      <w:pPr>
        <w:numPr>
          <w:ilvl w:val="0"/>
          <w:numId w:val="0"/>
        </w:numPr>
        <w:spacing w:before="120" w:beforeLines="50" w:after="120" w:line="240" w:lineRule="auto"/>
        <w:jc w:val="center"/>
      </w:pPr>
      <w:r>
        <w:drawing>
          <wp:inline distT="0" distB="0" distL="114300" distR="114300">
            <wp:extent cx="2933700" cy="1588770"/>
            <wp:effectExtent l="0" t="0" r="0"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6"/>
                    <a:srcRect l="1944" t="3051" r="2321" b="3123"/>
                    <a:stretch>
                      <a:fillRect/>
                    </a:stretch>
                  </pic:blipFill>
                  <pic:spPr>
                    <a:xfrm>
                      <a:off x="0" y="0"/>
                      <a:ext cx="2933700" cy="1588770"/>
                    </a:xfrm>
                    <a:prstGeom prst="rect">
                      <a:avLst/>
                    </a:prstGeom>
                    <a:noFill/>
                    <a:ln>
                      <a:noFill/>
                    </a:ln>
                  </pic:spPr>
                </pic:pic>
              </a:graphicData>
            </a:graphic>
          </wp:inline>
        </w:drawing>
      </w:r>
      <w:r>
        <w:drawing>
          <wp:inline distT="0" distB="0" distL="114300" distR="114300">
            <wp:extent cx="3136265" cy="1551305"/>
            <wp:effectExtent l="0" t="0" r="6985" b="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7"/>
                    <a:srcRect l="2206" t="4163" r="2129" b="4509"/>
                    <a:stretch>
                      <a:fillRect/>
                    </a:stretch>
                  </pic:blipFill>
                  <pic:spPr>
                    <a:xfrm>
                      <a:off x="0" y="0"/>
                      <a:ext cx="3136265" cy="1551305"/>
                    </a:xfrm>
                    <a:prstGeom prst="rect">
                      <a:avLst/>
                    </a:prstGeom>
                    <a:noFill/>
                    <a:ln>
                      <a:noFill/>
                    </a:ln>
                  </pic:spPr>
                </pic:pic>
              </a:graphicData>
            </a:graphic>
          </wp:inline>
        </w:drawing>
      </w:r>
    </w:p>
    <w:p w14:paraId="505E3E92">
      <w:pPr>
        <w:numPr>
          <w:ilvl w:val="0"/>
          <w:numId w:val="0"/>
        </w:numPr>
        <w:spacing w:before="120" w:beforeLines="50" w:after="120" w:line="240" w:lineRule="auto"/>
        <w:jc w:val="center"/>
        <w:rPr>
          <w:rFonts w:hint="default" w:ascii="Arial" w:hAnsi="Arial" w:cs="Arial" w:eastAsiaTheme="minorEastAsia"/>
          <w:b w:val="0"/>
          <w:bCs w:val="0"/>
          <w:sz w:val="18"/>
          <w:szCs w:val="18"/>
          <w:lang w:val="en-US" w:eastAsia="zh-CN"/>
        </w:rPr>
      </w:pPr>
      <w:r>
        <w:rPr>
          <w:rFonts w:hint="default" w:ascii="Arial" w:hAnsi="Arial" w:cs="Arial"/>
          <w:b w:val="0"/>
          <w:bCs w:val="0"/>
          <w:sz w:val="18"/>
          <w:szCs w:val="18"/>
          <w:lang w:val="en-US" w:eastAsia="zh-CN"/>
        </w:rPr>
        <w:t xml:space="preserve">Option 1: </w:t>
      </w:r>
      <w:r>
        <w:rPr>
          <w:rFonts w:hint="default" w:ascii="Arial" w:hAnsi="Arial" w:cs="Arial"/>
          <w:b w:val="0"/>
          <w:bCs w:val="0"/>
          <w:sz w:val="18"/>
          <w:szCs w:val="18"/>
        </w:rPr>
        <w:t>Joint decision by UE and NW</w:t>
      </w:r>
      <w:r>
        <w:rPr>
          <w:rFonts w:hint="eastAsia" w:ascii="Arial" w:hAnsi="Arial" w:cs="Arial"/>
          <w:b w:val="0"/>
          <w:bCs w:val="0"/>
          <w:sz w:val="18"/>
          <w:szCs w:val="18"/>
          <w:lang w:val="en-US" w:eastAsia="zh-CN"/>
        </w:rPr>
        <w:t xml:space="preserve">                     </w:t>
      </w:r>
      <w:r>
        <w:rPr>
          <w:rFonts w:hint="default" w:ascii="Arial" w:hAnsi="Arial" w:cs="Arial"/>
          <w:b w:val="0"/>
          <w:bCs w:val="0"/>
          <w:sz w:val="18"/>
          <w:szCs w:val="18"/>
          <w:lang w:val="en-US" w:eastAsia="zh-CN"/>
        </w:rPr>
        <w:t xml:space="preserve">Option </w:t>
      </w:r>
      <w:r>
        <w:rPr>
          <w:rFonts w:hint="eastAsia" w:ascii="Arial" w:hAnsi="Arial" w:cs="Arial"/>
          <w:b w:val="0"/>
          <w:bCs w:val="0"/>
          <w:sz w:val="18"/>
          <w:szCs w:val="18"/>
          <w:lang w:val="en-US" w:eastAsia="zh-CN"/>
        </w:rPr>
        <w:t>2</w:t>
      </w:r>
      <w:r>
        <w:rPr>
          <w:rFonts w:hint="default" w:ascii="Arial" w:hAnsi="Arial" w:cs="Arial"/>
          <w:b w:val="0"/>
          <w:bCs w:val="0"/>
          <w:sz w:val="18"/>
          <w:szCs w:val="18"/>
          <w:lang w:val="en-US" w:eastAsia="zh-CN"/>
        </w:rPr>
        <w:t xml:space="preserve">: </w:t>
      </w:r>
      <w:r>
        <w:rPr>
          <w:rFonts w:hint="eastAsia" w:ascii="Arial" w:hAnsi="Arial" w:cs="Arial"/>
          <w:b w:val="0"/>
          <w:bCs w:val="0"/>
          <w:sz w:val="18"/>
          <w:szCs w:val="18"/>
          <w:lang w:val="en-US" w:eastAsia="zh-CN"/>
        </w:rPr>
        <w:t>UE</w:t>
      </w:r>
      <w:r>
        <w:rPr>
          <w:rFonts w:hint="default" w:ascii="Arial" w:hAnsi="Arial" w:cs="Arial"/>
          <w:b w:val="0"/>
          <w:bCs w:val="0"/>
          <w:sz w:val="18"/>
          <w:szCs w:val="18"/>
        </w:rPr>
        <w:t xml:space="preserve"> decision</w:t>
      </w:r>
    </w:p>
    <w:p w14:paraId="313F05C5">
      <w:pPr>
        <w:numPr>
          <w:ilvl w:val="0"/>
          <w:numId w:val="0"/>
        </w:numPr>
        <w:spacing w:before="120" w:beforeLines="50" w:after="120" w:line="240" w:lineRule="auto"/>
        <w:jc w:val="center"/>
        <w:rPr>
          <w:rFonts w:hint="default" w:ascii="Arial" w:hAnsi="Arial" w:cs="Arial"/>
          <w:b/>
          <w:bCs/>
          <w:sz w:val="18"/>
          <w:szCs w:val="18"/>
          <w:lang w:val="en-US" w:eastAsia="zh-CN"/>
        </w:rPr>
      </w:pPr>
      <w:r>
        <w:rPr>
          <w:rFonts w:hint="eastAsia" w:ascii="Arial" w:hAnsi="Arial" w:cs="Arial"/>
          <w:b/>
          <w:bCs/>
          <w:sz w:val="18"/>
          <w:szCs w:val="18"/>
          <w:lang w:val="en-US" w:eastAsia="zh-CN"/>
        </w:rPr>
        <w:t>Figure 2. Applicable functionality decision</w:t>
      </w:r>
    </w:p>
    <w:p w14:paraId="022F93A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jc w:val="both"/>
        <w:textAlignment w:val="auto"/>
        <w:rPr>
          <w:rFonts w:hint="eastAsia" w:ascii="Arial" w:hAnsi="Arial" w:cs="Arial"/>
          <w:sz w:val="20"/>
          <w:szCs w:val="20"/>
          <w:lang w:val="en-US" w:eastAsia="zh-CN"/>
        </w:rPr>
      </w:pPr>
      <w:r>
        <w:rPr>
          <w:rFonts w:hint="eastAsia" w:ascii="Arial" w:hAnsi="Arial" w:cs="Arial"/>
          <w:sz w:val="20"/>
          <w:szCs w:val="20"/>
          <w:lang w:val="en-US" w:eastAsia="zh-CN"/>
        </w:rPr>
        <w:t xml:space="preserve">For option 1, NW does not provide the NW-side additional condition, and the UE needs to provide UE-considered applicable functionalities and the corresponding NW-side additional condition, then NW further decide which functionality is real applicable. However, this is not aligned with RAN2 agreements above. Furthermore, as we discussed before, a functionality can have multiple models, and these models can be associated with different NW-side additional conditions (e.g. different associated IDs). It means that UE can report multiple NW-side additional conditions for one functionality. If NW selects one of functionality according to current NW-side additional condition and provides the inference/monitoring configuration to UE, as the functionality has multiple models with different NW-side additional conditions, the UE still has no idea which model should be used for inference.  </w:t>
      </w:r>
    </w:p>
    <w:p w14:paraId="41A58AD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jc w:val="both"/>
        <w:textAlignment w:val="auto"/>
        <w:rPr>
          <w:rFonts w:hint="default" w:ascii="Arial" w:hAnsi="Arial" w:cs="Arial"/>
          <w:sz w:val="20"/>
          <w:szCs w:val="20"/>
          <w:lang w:val="en-US" w:eastAsia="zh-CN"/>
        </w:rPr>
      </w:pPr>
      <w:r>
        <w:rPr>
          <w:rFonts w:hint="eastAsia" w:ascii="Arial" w:hAnsi="Arial" w:cs="Arial"/>
          <w:sz w:val="20"/>
          <w:szCs w:val="20"/>
          <w:lang w:val="en-US" w:eastAsia="zh-CN"/>
        </w:rPr>
        <w:t xml:space="preserve">We give an example for easy understanding as illustrated in Fig.3. In step 4, the UE reports UE-considered applicable functionalities and the corresponding NW-side additional condition, e.g. </w:t>
      </w:r>
      <w:r>
        <w:rPr>
          <w:rFonts w:hint="default" w:ascii="Arial" w:hAnsi="Arial" w:cs="Arial"/>
          <w:sz w:val="20"/>
          <w:szCs w:val="20"/>
          <w:lang w:val="zh-CN" w:eastAsia="zh-CN"/>
        </w:rPr>
        <w:t>functionality#1{associated ID#1, assoicated ID#3}, functionality#</w:t>
      </w:r>
      <w:r>
        <w:rPr>
          <w:rFonts w:hint="eastAsia" w:ascii="Arial" w:hAnsi="Arial" w:cs="Arial"/>
          <w:sz w:val="20"/>
          <w:szCs w:val="20"/>
          <w:lang w:val="en-US" w:eastAsia="zh-CN"/>
        </w:rPr>
        <w:t>2</w:t>
      </w:r>
      <w:r>
        <w:rPr>
          <w:rFonts w:hint="default" w:ascii="Arial" w:hAnsi="Arial" w:cs="Arial"/>
          <w:sz w:val="20"/>
          <w:szCs w:val="20"/>
          <w:lang w:val="zh-CN" w:eastAsia="zh-CN"/>
        </w:rPr>
        <w:t>{associated ID#2, assoicated ID#4}</w:t>
      </w:r>
      <w:r>
        <w:rPr>
          <w:rFonts w:hint="eastAsia" w:ascii="Arial" w:hAnsi="Arial" w:cs="Arial"/>
          <w:sz w:val="20"/>
          <w:szCs w:val="20"/>
          <w:lang w:val="en-US" w:eastAsia="zh-CN"/>
        </w:rPr>
        <w:t xml:space="preserve">. At NW side, the current NW-side additional condition is associated ID#1, then the NW will provide the configuration for functionality#1 to the UE. However, there are two models (e.g. model#1 and model#2) that are related to associated ID#1 and associated ID#3 respectively. Then the UE will have no idea to select model#1 or model#2 for inference. If the UE selects model#2, the performance metrics of inference will be bad. One possible solution for this issue may be that the network provides the final applicable functionalities and the corresponding NW-side additional condition in step 5. However, this means that the network will always indicate NW-side additional condition to the UE. Then we think NW-side additional condition is provided before step 4 can simplify the procedure and reduce the signaling overhead.  </w:t>
      </w:r>
    </w:p>
    <w:p w14:paraId="313F08BC">
      <w:pPr>
        <w:numPr>
          <w:ilvl w:val="0"/>
          <w:numId w:val="0"/>
        </w:numPr>
        <w:spacing w:before="120" w:beforeLines="50" w:after="120" w:line="240" w:lineRule="auto"/>
        <w:jc w:val="center"/>
      </w:pPr>
      <w:r>
        <w:object>
          <v:shape id="_x0000_i1025" o:spt="75" type="#_x0000_t75" style="height:207.3pt;width:293.4pt;" o:ole="t" filled="f" o:preferrelative="t" stroked="f" coordsize="21600,21600">
            <v:path/>
            <v:fill on="f" focussize="0,0"/>
            <v:stroke on="f" weight="3pt"/>
            <v:imagedata r:id="rId9" cropleft="1964f" croptop="2481f" cropright="1953f" cropbottom="2902f" o:title=""/>
            <o:lock v:ext="edit" aspectratio="t"/>
            <w10:wrap type="none"/>
            <w10:anchorlock/>
          </v:shape>
          <o:OLEObject Type="Embed" ProgID="Visio.Drawing.15" ShapeID="_x0000_i1025" DrawAspect="Content" ObjectID="_1468075725" r:id="rId8">
            <o:LockedField>false</o:LockedField>
          </o:OLEObject>
        </w:object>
      </w:r>
    </w:p>
    <w:p w14:paraId="327EACD7">
      <w:pPr>
        <w:numPr>
          <w:ilvl w:val="0"/>
          <w:numId w:val="0"/>
        </w:numPr>
        <w:spacing w:before="120" w:beforeLines="50" w:after="120" w:line="240" w:lineRule="auto"/>
        <w:jc w:val="center"/>
        <w:rPr>
          <w:rFonts w:hint="default" w:ascii="Arial" w:hAnsi="Arial" w:cs="Arial"/>
          <w:b/>
          <w:bCs/>
          <w:sz w:val="18"/>
          <w:szCs w:val="18"/>
          <w:lang w:val="en-US" w:eastAsia="zh-CN"/>
        </w:rPr>
      </w:pPr>
      <w:r>
        <w:rPr>
          <w:rFonts w:hint="eastAsia" w:ascii="Arial" w:hAnsi="Arial" w:cs="Arial"/>
          <w:b/>
          <w:bCs/>
          <w:sz w:val="18"/>
          <w:szCs w:val="18"/>
          <w:lang w:val="en-US" w:eastAsia="zh-CN"/>
        </w:rPr>
        <w:t>Figure 3. An example for option 1</w:t>
      </w:r>
    </w:p>
    <w:p w14:paraId="55C87EC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jc w:val="both"/>
        <w:textAlignment w:val="auto"/>
        <w:rPr>
          <w:rFonts w:hint="eastAsia" w:ascii="Arial" w:hAnsi="Arial" w:cs="Arial"/>
          <w:sz w:val="20"/>
          <w:szCs w:val="20"/>
          <w:lang w:val="en-US" w:eastAsia="zh-CN"/>
        </w:rPr>
      </w:pPr>
      <w:r>
        <w:rPr>
          <w:rFonts w:hint="eastAsia" w:ascii="Arial" w:hAnsi="Arial" w:cs="Arial"/>
          <w:sz w:val="20"/>
          <w:szCs w:val="20"/>
          <w:lang w:val="en-US" w:eastAsia="zh-CN"/>
        </w:rPr>
        <w:t>Therefore, based on the above analysis, to avoid the UE selecting an unsuitable model and to make the procedure simple, it is better that network always provides the NW-side additional condition to UE for determining the applicable functionality.</w:t>
      </w:r>
    </w:p>
    <w:p w14:paraId="4272BE3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jc w:val="both"/>
        <w:textAlignment w:val="auto"/>
        <w:rPr>
          <w:rFonts w:hint="default" w:ascii="Arial" w:hAnsi="Arial" w:cs="Arial"/>
          <w:b/>
          <w:bCs/>
          <w:sz w:val="20"/>
          <w:szCs w:val="20"/>
          <w:lang w:val="en-US" w:eastAsia="zh-CN"/>
        </w:rPr>
      </w:pPr>
      <w:r>
        <w:rPr>
          <w:rFonts w:hint="eastAsia" w:ascii="Arial" w:hAnsi="Arial" w:cs="Arial"/>
          <w:b/>
          <w:bCs/>
          <w:sz w:val="20"/>
          <w:szCs w:val="20"/>
          <w:lang w:val="en-US" w:eastAsia="zh-CN"/>
        </w:rPr>
        <w:t>Proposal 2: The network always provides the NW-side additional condition to UE for determining the applicable functionality.</w:t>
      </w:r>
    </w:p>
    <w:p w14:paraId="77374C7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0"/>
          <w:lang w:val="en-US" w:eastAsia="zh-CN"/>
        </w:rPr>
      </w:pPr>
      <w:r>
        <w:rPr>
          <w:rFonts w:hint="eastAsia" w:ascii="Arial" w:hAnsi="Arial" w:cs="Arial"/>
          <w:sz w:val="20"/>
          <w:szCs w:val="20"/>
          <w:lang w:val="en-US" w:eastAsia="zh-CN"/>
        </w:rPr>
        <w:t xml:space="preserve">In addition, we think that the network provides </w:t>
      </w:r>
      <w:r>
        <w:rPr>
          <w:rFonts w:hint="eastAsia" w:ascii="Arial" w:hAnsi="Arial" w:cs="Arial"/>
          <w:b w:val="0"/>
          <w:bCs w:val="0"/>
          <w:sz w:val="20"/>
          <w:szCs w:val="20"/>
          <w:lang w:val="en-US" w:eastAsia="zh-CN"/>
        </w:rPr>
        <w:t>NW-side additional condition in step 3</w:t>
      </w:r>
      <w:r>
        <w:rPr>
          <w:rFonts w:hint="eastAsia" w:ascii="Arial" w:hAnsi="Arial" w:cs="Arial"/>
          <w:sz w:val="20"/>
          <w:szCs w:val="20"/>
          <w:lang w:val="en-US" w:eastAsia="zh-CN"/>
        </w:rPr>
        <w:t xml:space="preserve"> can be applied to proactive and reactive reporting. Regardless of reporting option, the UE can decide the applicable functionalities considering the NW-side additional condition.</w:t>
      </w:r>
    </w:p>
    <w:p w14:paraId="5300F6C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lang w:val="en-US" w:eastAsia="zh-CN"/>
        </w:rPr>
      </w:pPr>
      <w:r>
        <w:rPr>
          <w:rFonts w:hint="eastAsia" w:ascii="Arial" w:hAnsi="Arial" w:cs="Arial"/>
          <w:b/>
          <w:bCs/>
          <w:sz w:val="20"/>
          <w:szCs w:val="20"/>
          <w:lang w:val="en-US" w:eastAsia="zh-CN"/>
        </w:rPr>
        <w:t>Proposal 3: NW-side additional condition will be provided to the UE for proactive and reactive reporting.</w:t>
      </w:r>
    </w:p>
    <w:p w14:paraId="391E7B4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0"/>
          <w:lang w:val="en-US" w:eastAsia="zh-CN"/>
        </w:rPr>
      </w:pPr>
      <w:r>
        <w:rPr>
          <w:rFonts w:hint="eastAsia" w:ascii="Arial" w:hAnsi="Arial" w:cs="Arial"/>
          <w:sz w:val="20"/>
          <w:szCs w:val="20"/>
          <w:lang w:val="en-US" w:eastAsia="zh-CN"/>
        </w:rPr>
        <w:t xml:space="preserve">For the signaling of NW-side additional condition, RRC message is applicable anyway and it is flexible since it is UE specific, so we prefer to use RRC message as baseline. For other options, e.g. SIB, we think it depends on the granularity of NW-side additional condition and we can revise it after RAN1 has further progress. </w:t>
      </w:r>
    </w:p>
    <w:p w14:paraId="595506C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val="0"/>
          <w:bCs w:val="0"/>
          <w:sz w:val="20"/>
          <w:szCs w:val="20"/>
          <w:lang w:val="en-US" w:eastAsia="zh-CN"/>
        </w:rPr>
      </w:pPr>
      <w:r>
        <w:rPr>
          <w:rFonts w:hint="eastAsia" w:ascii="Arial" w:hAnsi="Arial" w:cs="Arial"/>
          <w:b/>
          <w:bCs/>
          <w:sz w:val="20"/>
          <w:szCs w:val="20"/>
          <w:lang w:val="en-US" w:eastAsia="zh-CN"/>
        </w:rPr>
        <w:t>Proposal 4: RRC signaling is used for providing NW-side additional condition as baseline. Whether SIB can also be used depends on the granularity of NW-side additional condition, RAN2 can revise it after RAN1 has further progress.</w:t>
      </w:r>
    </w:p>
    <w:p w14:paraId="26EAE17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lang w:val="en-US" w:eastAsia="zh-CN"/>
        </w:rPr>
      </w:pPr>
      <w:r>
        <w:rPr>
          <w:rFonts w:hint="eastAsia" w:ascii="Arial" w:hAnsi="Arial" w:cs="Arial"/>
          <w:b/>
          <w:bCs/>
          <w:i/>
          <w:iCs/>
          <w:sz w:val="20"/>
          <w:szCs w:val="20"/>
          <w:u w:val="single"/>
          <w:lang w:val="en-US" w:eastAsia="zh-CN"/>
        </w:rPr>
        <w:t>Issue#3: FFS on signaling of step 4 for reactive reporting</w:t>
      </w:r>
    </w:p>
    <w:p w14:paraId="05DA6565">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2"/>
        </w:rPr>
      </w:pPr>
      <w:r>
        <w:rPr>
          <w:rFonts w:hint="eastAsia" w:ascii="Arial" w:hAnsi="Arial" w:cs="Arial"/>
          <w:b w:val="0"/>
          <w:bCs w:val="0"/>
          <w:sz w:val="20"/>
          <w:szCs w:val="20"/>
          <w:lang w:val="en-US" w:eastAsia="zh-CN"/>
        </w:rPr>
        <w:t>For reactive reporting, it is used whenever the network wants the UE to report the applicable functionalities. However, the UAI framework cannot achieve to react the network configuration immediately, and when to report is up to UE. Therefore, w</w:t>
      </w:r>
      <w:r>
        <w:rPr>
          <w:rFonts w:hint="eastAsia" w:ascii="Arial" w:hAnsi="Arial" w:cs="Arial"/>
          <w:sz w:val="20"/>
          <w:szCs w:val="22"/>
          <w:lang w:val="en-US" w:eastAsia="zh-CN"/>
        </w:rPr>
        <w:t xml:space="preserve">e think that </w:t>
      </w:r>
      <w:r>
        <w:rPr>
          <w:rFonts w:hint="default" w:ascii="Arial" w:hAnsi="Arial" w:cs="Arial"/>
          <w:sz w:val="20"/>
          <w:szCs w:val="22"/>
        </w:rPr>
        <w:t xml:space="preserve">it is straight forward to use </w:t>
      </w:r>
      <w:r>
        <w:rPr>
          <w:rFonts w:hint="default" w:ascii="Arial" w:hAnsi="Arial" w:cs="Arial"/>
          <w:i/>
          <w:iCs/>
          <w:sz w:val="20"/>
          <w:szCs w:val="22"/>
        </w:rPr>
        <w:t>RRCReconfiguraitonComplete</w:t>
      </w:r>
      <w:r>
        <w:rPr>
          <w:rFonts w:hint="eastAsia" w:ascii="Arial" w:hAnsi="Arial" w:cs="Arial"/>
          <w:i/>
          <w:iCs/>
          <w:sz w:val="20"/>
          <w:szCs w:val="22"/>
          <w:lang w:val="en-US" w:eastAsia="zh-CN"/>
        </w:rPr>
        <w:t xml:space="preserve"> </w:t>
      </w:r>
      <w:r>
        <w:rPr>
          <w:rFonts w:hint="eastAsia" w:ascii="Arial" w:hAnsi="Arial" w:cs="Arial"/>
          <w:sz w:val="20"/>
          <w:szCs w:val="22"/>
          <w:lang w:val="en-US" w:eastAsia="zh-CN"/>
        </w:rPr>
        <w:t xml:space="preserve">message to react the network configuration in </w:t>
      </w:r>
      <w:r>
        <w:rPr>
          <w:rFonts w:hint="eastAsia" w:ascii="Arial" w:hAnsi="Arial" w:cs="Arial"/>
          <w:i/>
          <w:iCs/>
          <w:sz w:val="20"/>
          <w:szCs w:val="22"/>
          <w:lang w:val="en-US" w:eastAsia="zh-CN"/>
        </w:rPr>
        <w:t xml:space="preserve">RRCReconfiguration </w:t>
      </w:r>
      <w:r>
        <w:rPr>
          <w:rFonts w:hint="eastAsia" w:ascii="Arial" w:hAnsi="Arial" w:cs="Arial"/>
          <w:sz w:val="20"/>
          <w:szCs w:val="22"/>
          <w:lang w:val="en-US" w:eastAsia="zh-CN"/>
        </w:rPr>
        <w:t>message</w:t>
      </w:r>
      <w:r>
        <w:rPr>
          <w:rFonts w:hint="default" w:ascii="Arial" w:hAnsi="Arial" w:cs="Arial"/>
          <w:sz w:val="20"/>
          <w:szCs w:val="22"/>
        </w:rPr>
        <w:t xml:space="preserve">. </w:t>
      </w:r>
    </w:p>
    <w:p w14:paraId="059FCB3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sz w:val="20"/>
          <w:szCs w:val="20"/>
          <w:lang w:val="en-US" w:eastAsia="zh-CN"/>
        </w:rPr>
      </w:pPr>
      <w:r>
        <w:rPr>
          <w:rFonts w:hint="eastAsia" w:ascii="Arial" w:hAnsi="Arial" w:cs="Arial"/>
          <w:b/>
          <w:bCs/>
          <w:sz w:val="20"/>
          <w:szCs w:val="22"/>
          <w:lang w:val="en-US" w:eastAsia="zh-CN"/>
        </w:rPr>
        <w:t xml:space="preserve">Proposal 5: </w:t>
      </w:r>
      <w:r>
        <w:rPr>
          <w:rFonts w:hint="default" w:ascii="Arial" w:hAnsi="Arial" w:cs="Arial"/>
          <w:b/>
          <w:bCs/>
          <w:i/>
          <w:iCs/>
          <w:sz w:val="20"/>
          <w:szCs w:val="22"/>
        </w:rPr>
        <w:t>RRCReconfiguraitonComplete</w:t>
      </w:r>
      <w:r>
        <w:rPr>
          <w:rFonts w:hint="eastAsia" w:ascii="Arial" w:hAnsi="Arial" w:cs="Arial"/>
          <w:b/>
          <w:bCs/>
          <w:i/>
          <w:iCs/>
          <w:sz w:val="20"/>
          <w:szCs w:val="22"/>
          <w:lang w:val="en-US" w:eastAsia="zh-CN"/>
        </w:rPr>
        <w:t xml:space="preserve"> </w:t>
      </w:r>
      <w:r>
        <w:rPr>
          <w:rFonts w:hint="eastAsia" w:ascii="Arial" w:hAnsi="Arial" w:cs="Arial"/>
          <w:b/>
          <w:bCs/>
          <w:i w:val="0"/>
          <w:iCs w:val="0"/>
          <w:sz w:val="20"/>
          <w:szCs w:val="22"/>
          <w:lang w:val="en-US" w:eastAsia="zh-CN"/>
        </w:rPr>
        <w:t xml:space="preserve">message is used for the </w:t>
      </w:r>
      <w:r>
        <w:rPr>
          <w:rFonts w:hint="eastAsia" w:ascii="Arial" w:hAnsi="Arial" w:cs="Arial"/>
          <w:b/>
          <w:bCs/>
          <w:sz w:val="20"/>
          <w:szCs w:val="20"/>
          <w:lang w:val="en-US" w:eastAsia="zh-CN"/>
        </w:rPr>
        <w:t>reactive reporting of applicable functionalities.</w:t>
      </w:r>
    </w:p>
    <w:p w14:paraId="1AFB005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2"/>
          <w:lang w:val="en-US" w:eastAsia="zh-CN"/>
        </w:rPr>
      </w:pPr>
      <w:r>
        <w:rPr>
          <w:rFonts w:hint="eastAsia" w:ascii="Arial" w:hAnsi="Arial" w:cs="Arial"/>
          <w:b/>
          <w:bCs/>
          <w:i/>
          <w:iCs/>
          <w:sz w:val="20"/>
          <w:szCs w:val="20"/>
          <w:u w:val="single"/>
          <w:lang w:val="en-US" w:eastAsia="zh-CN"/>
        </w:rPr>
        <w:t>Issue#4: Coexistence of reactive reporting and proactive reporting</w:t>
      </w:r>
    </w:p>
    <w:p w14:paraId="195422E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2"/>
          <w:lang w:val="en-US" w:eastAsia="zh-CN"/>
        </w:rPr>
      </w:pPr>
      <w:r>
        <w:rPr>
          <w:rFonts w:hint="eastAsia" w:ascii="Arial" w:hAnsi="Arial" w:cs="Arial"/>
          <w:sz w:val="20"/>
          <w:szCs w:val="22"/>
          <w:lang w:val="en-US" w:eastAsia="zh-CN"/>
        </w:rPr>
        <w:t xml:space="preserve">We understand that the proactive and reactive approach can be coexist, i.e. the network can provide both reactive and proactive configuration. In such a case, the proactive reporting (i.e. UAI framework) can be used to report to the network when the applicability functionalities changes, and the reactive reporting is used as response to the network configuration immediately.  </w:t>
      </w:r>
    </w:p>
    <w:p w14:paraId="4B75CD6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eastAsiaTheme="minorEastAsia"/>
          <w:b/>
          <w:bCs/>
          <w:sz w:val="20"/>
          <w:szCs w:val="20"/>
          <w:lang w:val="en-US" w:eastAsia="zh-CN"/>
        </w:rPr>
      </w:pPr>
      <w:r>
        <w:rPr>
          <w:rFonts w:hint="eastAsia" w:ascii="Arial" w:hAnsi="Arial" w:cs="Arial"/>
          <w:b/>
          <w:bCs/>
          <w:sz w:val="20"/>
          <w:szCs w:val="22"/>
          <w:lang w:val="en-US" w:eastAsia="zh-CN"/>
        </w:rPr>
        <w:t>Proposal 6: The proactive and reactive approach can be coexist, the proactive reporting (i.e. UAI framework) is used when the applicability functionalities changes, and the reactive reporting is used as response to the network configuration immediately</w:t>
      </w:r>
      <w:r>
        <w:rPr>
          <w:rFonts w:hint="eastAsia" w:ascii="Arial" w:hAnsi="Arial" w:cs="Arial"/>
          <w:b/>
          <w:bCs/>
          <w:sz w:val="20"/>
          <w:szCs w:val="20"/>
          <w:lang w:val="en-US" w:eastAsia="zh-CN"/>
        </w:rPr>
        <w:t>.</w:t>
      </w:r>
    </w:p>
    <w:p w14:paraId="1722025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ind w:leftChars="0"/>
        <w:textAlignment w:val="auto"/>
        <w:outlineLvl w:val="9"/>
        <w:rPr>
          <w:rFonts w:hint="default" w:ascii="Arial" w:hAnsi="Arial" w:cs="Arial"/>
          <w:b/>
          <w:bCs w:val="0"/>
          <w:sz w:val="28"/>
          <w:szCs w:val="28"/>
          <w:lang w:val="en-US" w:eastAsia="zh-CN"/>
        </w:rPr>
      </w:pPr>
      <w:r>
        <w:rPr>
          <w:rFonts w:hint="eastAsia" w:ascii="Arial" w:hAnsi="Arial" w:cs="Arial"/>
          <w:b/>
          <w:bCs/>
          <w:i/>
          <w:iCs/>
          <w:sz w:val="20"/>
          <w:szCs w:val="20"/>
          <w:u w:val="single"/>
          <w:lang w:val="en-US" w:eastAsia="zh-CN"/>
        </w:rPr>
        <w:t>Issue#5: Whether the applicable functionality of neighbor cells can be reported</w:t>
      </w:r>
    </w:p>
    <w:p w14:paraId="3D5F5F7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ind w:leftChars="0"/>
        <w:textAlignment w:val="auto"/>
        <w:outlineLvl w:val="9"/>
        <w:rPr>
          <w:rFonts w:hint="default" w:ascii="Arial" w:hAnsi="Arial" w:cs="Arial"/>
          <w:sz w:val="20"/>
          <w:szCs w:val="22"/>
          <w:lang w:val="en-US" w:eastAsia="zh-CN"/>
        </w:rPr>
      </w:pPr>
      <w:r>
        <w:rPr>
          <w:rFonts w:hint="eastAsia" w:ascii="Arial" w:hAnsi="Arial" w:cs="Arial"/>
          <w:sz w:val="20"/>
          <w:szCs w:val="22"/>
          <w:lang w:val="en-US" w:eastAsia="zh-CN"/>
        </w:rPr>
        <w:t>In this stage, the AI-based beam management use case (time domain and spatial domain prediction) is only for serving cell. And RAN1 working assumption in last meeting indicated that the NW-side additional conditions with the same associated ID are consistent at least within a cell, whether/how UE assumption can be applicable for multiple cells is FFS.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DCF9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2539493">
            <w:pPr>
              <w:rPr>
                <w:rFonts w:hint="default" w:ascii="Times New Roman" w:hAnsi="Times New Roman" w:eastAsia="等线" w:cs="Times New Roman"/>
                <w:iCs/>
                <w:sz w:val="20"/>
                <w:szCs w:val="21"/>
                <w:highlight w:val="darkYellow"/>
                <w:lang w:val="en-US" w:eastAsia="zh-CN"/>
              </w:rPr>
            </w:pPr>
            <w:r>
              <w:rPr>
                <w:rFonts w:hint="default" w:ascii="Times New Roman" w:hAnsi="Times New Roman" w:eastAsia="等线" w:cs="Times New Roman"/>
                <w:iCs/>
                <w:sz w:val="20"/>
                <w:szCs w:val="21"/>
                <w:highlight w:val="darkYellow"/>
                <w:lang w:val="en-US" w:eastAsia="zh-CN"/>
              </w:rPr>
              <w:t>RAN1#117 Working Assumption</w:t>
            </w:r>
          </w:p>
          <w:p w14:paraId="37B80D1D">
            <w:pPr>
              <w:rPr>
                <w:rFonts w:hint="default" w:ascii="Times New Roman" w:hAnsi="Times New Roman" w:cs="Times New Roman"/>
                <w:iCs/>
                <w:sz w:val="20"/>
                <w:szCs w:val="21"/>
                <w:lang w:val="en-US" w:eastAsia="zh-CN"/>
              </w:rPr>
            </w:pPr>
            <w:r>
              <w:rPr>
                <w:rFonts w:hint="default" w:ascii="Times New Roman" w:hAnsi="Times New Roman" w:cs="Times New Roman"/>
                <w:iCs/>
                <w:sz w:val="20"/>
                <w:szCs w:val="21"/>
                <w:lang w:val="en-US" w:eastAsia="zh-CN"/>
              </w:rPr>
              <w:t>Regarding the associated ID for Rel-19, the UE assum</w:t>
            </w:r>
            <w:r>
              <w:rPr>
                <w:rFonts w:hint="default" w:ascii="Times New Roman" w:hAnsi="Times New Roman" w:eastAsia="等线" w:cs="Times New Roman"/>
                <w:iCs/>
                <w:sz w:val="20"/>
                <w:szCs w:val="21"/>
                <w:lang w:val="en-US" w:eastAsia="zh-CN"/>
              </w:rPr>
              <w:t xml:space="preserve">es that </w:t>
            </w:r>
            <w:r>
              <w:rPr>
                <w:rFonts w:hint="default" w:ascii="Times New Roman" w:hAnsi="Times New Roman" w:cs="Times New Roman"/>
                <w:iCs/>
                <w:sz w:val="20"/>
                <w:szCs w:val="21"/>
                <w:lang w:val="en-US" w:eastAsia="zh-CN"/>
              </w:rPr>
              <w:t>NW-side additional condition</w:t>
            </w:r>
            <w:r>
              <w:rPr>
                <w:rFonts w:hint="default" w:ascii="Times New Roman" w:hAnsi="Times New Roman" w:eastAsia="等线" w:cs="Times New Roman"/>
                <w:iCs/>
                <w:sz w:val="20"/>
                <w:szCs w:val="21"/>
                <w:lang w:val="en-US" w:eastAsia="zh-CN"/>
              </w:rPr>
              <w:t>s</w:t>
            </w:r>
            <w:r>
              <w:rPr>
                <w:rFonts w:hint="default" w:ascii="Times New Roman" w:hAnsi="Times New Roman" w:cs="Times New Roman"/>
                <w:iCs/>
                <w:sz w:val="20"/>
                <w:szCs w:val="21"/>
                <w:lang w:val="en-US" w:eastAsia="zh-CN"/>
              </w:rPr>
              <w:t xml:space="preserve"> with </w:t>
            </w:r>
            <w:r>
              <w:rPr>
                <w:rFonts w:hint="default" w:ascii="Times New Roman" w:hAnsi="Times New Roman" w:cs="Times New Roman"/>
                <w:iCs/>
                <w:sz w:val="20"/>
                <w:szCs w:val="21"/>
                <w:highlight w:val="yellow"/>
                <w:lang w:val="en-US" w:eastAsia="zh-CN"/>
              </w:rPr>
              <w:t xml:space="preserve">the same associated ID </w:t>
            </w:r>
            <w:r>
              <w:rPr>
                <w:rFonts w:hint="default" w:ascii="Times New Roman" w:hAnsi="Times New Roman" w:eastAsia="等线" w:cs="Times New Roman"/>
                <w:iCs/>
                <w:sz w:val="20"/>
                <w:szCs w:val="21"/>
                <w:highlight w:val="yellow"/>
                <w:lang w:val="en-US" w:eastAsia="zh-CN"/>
              </w:rPr>
              <w:t>are</w:t>
            </w:r>
            <w:r>
              <w:rPr>
                <w:rFonts w:hint="default" w:ascii="Times New Roman" w:hAnsi="Times New Roman" w:cs="Times New Roman"/>
                <w:iCs/>
                <w:sz w:val="20"/>
                <w:szCs w:val="21"/>
                <w:highlight w:val="yellow"/>
                <w:lang w:val="en-US" w:eastAsia="zh-CN"/>
              </w:rPr>
              <w:t xml:space="preserve"> </w:t>
            </w:r>
            <w:r>
              <w:rPr>
                <w:rFonts w:hint="default" w:ascii="Times New Roman" w:hAnsi="Times New Roman" w:eastAsia="等线" w:cs="Times New Roman"/>
                <w:iCs/>
                <w:sz w:val="20"/>
                <w:szCs w:val="21"/>
                <w:highlight w:val="yellow"/>
                <w:lang w:val="en-US" w:eastAsia="zh-CN"/>
              </w:rPr>
              <w:t xml:space="preserve">consistent </w:t>
            </w:r>
            <w:r>
              <w:rPr>
                <w:rFonts w:hint="default" w:ascii="Times New Roman" w:hAnsi="Times New Roman" w:cs="Times New Roman"/>
                <w:iCs/>
                <w:sz w:val="20"/>
                <w:szCs w:val="21"/>
                <w:highlight w:val="yellow"/>
                <w:lang w:val="en-US" w:eastAsia="zh-CN"/>
              </w:rPr>
              <w:t>at least within a cell</w:t>
            </w:r>
            <w:r>
              <w:rPr>
                <w:rFonts w:hint="default" w:ascii="Times New Roman" w:hAnsi="Times New Roman" w:cs="Times New Roman"/>
                <w:iCs/>
                <w:sz w:val="20"/>
                <w:szCs w:val="21"/>
                <w:lang w:val="en-US" w:eastAsia="zh-CN"/>
              </w:rPr>
              <w:t xml:space="preserve">  </w:t>
            </w:r>
          </w:p>
          <w:p w14:paraId="3E323FD6">
            <w:pPr>
              <w:pStyle w:val="23"/>
              <w:numPr>
                <w:ilvl w:val="0"/>
                <w:numId w:val="9"/>
              </w:numPr>
              <w:spacing w:before="60" w:after="120" w:line="300" w:lineRule="auto"/>
              <w:ind w:leftChars="0"/>
              <w:contextualSpacing/>
              <w:jc w:val="both"/>
              <w:rPr>
                <w:rFonts w:hint="eastAsia" w:ascii="Arial" w:hAnsi="Arial" w:cs="Arial"/>
                <w:sz w:val="20"/>
                <w:szCs w:val="22"/>
                <w:vertAlign w:val="baseline"/>
                <w:lang w:val="en-US" w:eastAsia="zh-CN"/>
              </w:rPr>
            </w:pPr>
            <w:r>
              <w:rPr>
                <w:rFonts w:hint="default" w:ascii="Times New Roman" w:hAnsi="Times New Roman" w:cs="Times New Roman"/>
                <w:iCs/>
                <w:sz w:val="20"/>
                <w:szCs w:val="21"/>
                <w:lang w:val="en-US"/>
              </w:rPr>
              <w:t>FFS: whether/how UE assumption can be applicable for multiple cells (including the feasibility study)</w:t>
            </w:r>
          </w:p>
        </w:tc>
      </w:tr>
    </w:tbl>
    <w:p w14:paraId="5E1D164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ind w:leftChars="0"/>
        <w:textAlignment w:val="auto"/>
        <w:outlineLvl w:val="9"/>
        <w:rPr>
          <w:rFonts w:hint="default" w:ascii="Arial" w:hAnsi="Arial" w:cs="Arial"/>
          <w:sz w:val="20"/>
          <w:szCs w:val="22"/>
          <w:lang w:val="en-US" w:eastAsia="zh-CN"/>
        </w:rPr>
      </w:pPr>
      <w:r>
        <w:rPr>
          <w:rFonts w:hint="eastAsia" w:ascii="Arial" w:hAnsi="Arial" w:cs="Arial"/>
          <w:sz w:val="20"/>
          <w:szCs w:val="22"/>
          <w:lang w:val="en-US" w:eastAsia="zh-CN"/>
        </w:rPr>
        <w:t>We think that if the associated ID can be also applicable for neighbor cells or the associated IDs of the neighbor cells can be provided to the UE, then the applicable functionality of neighbor cells can be reported to the network, which needs to wait for RAN1's progress.</w:t>
      </w:r>
    </w:p>
    <w:p w14:paraId="012FDB4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ind w:leftChars="0"/>
        <w:textAlignment w:val="auto"/>
        <w:outlineLvl w:val="9"/>
        <w:rPr>
          <w:rFonts w:hint="default" w:ascii="Arial" w:hAnsi="Arial" w:cs="Arial"/>
          <w:sz w:val="20"/>
          <w:szCs w:val="22"/>
          <w:lang w:val="en-US" w:eastAsia="zh-CN"/>
        </w:rPr>
      </w:pPr>
      <w:r>
        <w:rPr>
          <w:rFonts w:hint="eastAsia" w:ascii="Arial" w:hAnsi="Arial" w:cs="Arial"/>
          <w:b/>
          <w:bCs/>
          <w:sz w:val="20"/>
          <w:szCs w:val="22"/>
          <w:lang w:val="en-US" w:eastAsia="zh-CN"/>
        </w:rPr>
        <w:t>Proposal 7: Whether the applicable functionality of neighbor cells can be reported should depends on RAN1</w:t>
      </w:r>
      <w:r>
        <w:rPr>
          <w:rFonts w:hint="default" w:ascii="Arial" w:hAnsi="Arial" w:cs="Arial"/>
          <w:b/>
          <w:bCs/>
          <w:sz w:val="20"/>
          <w:szCs w:val="22"/>
          <w:lang w:val="en-US" w:eastAsia="zh-CN"/>
        </w:rPr>
        <w:t>’</w:t>
      </w:r>
      <w:r>
        <w:rPr>
          <w:rFonts w:hint="eastAsia" w:ascii="Arial" w:hAnsi="Arial" w:cs="Arial"/>
          <w:b/>
          <w:bCs/>
          <w:sz w:val="20"/>
          <w:szCs w:val="22"/>
          <w:lang w:val="en-US" w:eastAsia="zh-CN"/>
        </w:rPr>
        <w:t xml:space="preserve"> progress on associated ID.  </w:t>
      </w:r>
    </w:p>
    <w:p w14:paraId="19F897F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bCs w:val="0"/>
          <w:sz w:val="28"/>
          <w:szCs w:val="28"/>
          <w:lang w:val="en-US" w:eastAsia="zh-CN"/>
        </w:rPr>
      </w:pPr>
    </w:p>
    <w:p w14:paraId="1ADD98D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highlight w:val="none"/>
          <w:lang w:val="en-US" w:eastAsia="zh-CN"/>
        </w:rPr>
      </w:pPr>
      <w:r>
        <w:rPr>
          <w:rFonts w:hint="eastAsia" w:ascii="Arial" w:hAnsi="Arial" w:cs="Arial"/>
          <w:b w:val="0"/>
          <w:bCs/>
          <w:sz w:val="28"/>
          <w:szCs w:val="28"/>
          <w:highlight w:val="none"/>
          <w:lang w:val="en-US" w:eastAsia="zh-CN"/>
        </w:rPr>
        <w:t>2.2 Functionality activation/deactivation</w:t>
      </w:r>
    </w:p>
    <w:p w14:paraId="2981425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eastAsia" w:ascii="Arial" w:hAnsi="Arial" w:cs="Arial"/>
          <w:sz w:val="20"/>
          <w:szCs w:val="22"/>
          <w:lang w:val="en-US" w:eastAsia="zh-CN"/>
        </w:rPr>
      </w:pPr>
      <w:r>
        <w:rPr>
          <w:rFonts w:hint="eastAsia" w:ascii="Arial" w:hAnsi="Arial" w:cs="Arial"/>
          <w:sz w:val="20"/>
          <w:szCs w:val="22"/>
          <w:lang w:val="en-US" w:eastAsia="zh-CN"/>
        </w:rPr>
        <w:t>During the post email discussion [2], the majority of companies supported that the applicable functionality is initially activated if the inference configuration is provided in Step 5. There is no consensus on subsequent functionality activation/deactivation. In our understanding, there may be multiple functionalities activated at the same time. Therefore, we think an explicit signaling needs to be used for functionality activation/deactivation. As usual, RRC signaling or L1/L2 signaling can be also used for functionality activation/deactivation, but whether to introduce L1/L2 signaling for activation/deactivation is up to RAN1. Therefore, RAN2 can discuss the signaling for activation/deactivation after RAN1 conclusion.</w:t>
      </w:r>
    </w:p>
    <w:p w14:paraId="7C3D284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bCs/>
          <w:sz w:val="20"/>
          <w:szCs w:val="22"/>
          <w:lang w:val="en-US" w:eastAsia="zh-CN"/>
        </w:rPr>
      </w:pPr>
      <w:r>
        <w:rPr>
          <w:rFonts w:hint="eastAsia" w:ascii="Arial" w:hAnsi="Arial" w:cs="Arial"/>
          <w:b/>
          <w:bCs/>
          <w:sz w:val="20"/>
          <w:szCs w:val="22"/>
          <w:lang w:val="en-US" w:eastAsia="zh-CN"/>
        </w:rPr>
        <w:t xml:space="preserve">Proposal 8: Whether to introduce L1/L2 signaling for functionality activation/deactivation is up to RAN1. </w:t>
      </w:r>
    </w:p>
    <w:p w14:paraId="34012915">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Arial" w:hAnsi="Arial" w:cs="Arial"/>
          <w:b/>
          <w:bCs w:val="0"/>
          <w:sz w:val="20"/>
          <w:szCs w:val="20"/>
          <w:lang w:val="en-US" w:eastAsia="zh-CN"/>
        </w:rPr>
      </w:pPr>
    </w:p>
    <w:p w14:paraId="780FC19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2.3 Granularity of AI/ML-enabled Feature and functionality</w:t>
      </w:r>
    </w:p>
    <w:p w14:paraId="3BEDA7DD">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In last meeting, RAN2 agreed that which AI/ML-enabled Features/FGs and functionalities are supported should be standardized, and the details wait for RAN1</w:t>
      </w:r>
      <w:r>
        <w:rPr>
          <w:rFonts w:hint="default" w:ascii="Arial" w:hAnsi="Arial" w:cs="Arial"/>
          <w:sz w:val="20"/>
          <w:szCs w:val="20"/>
          <w:lang w:val="en-US" w:eastAsia="zh-CN"/>
        </w:rPr>
        <w:t>’</w:t>
      </w:r>
      <w:r>
        <w:rPr>
          <w:rFonts w:hint="eastAsia" w:ascii="Arial" w:hAnsi="Arial" w:cs="Arial"/>
          <w:sz w:val="20"/>
          <w:szCs w:val="20"/>
          <w:lang w:val="en-US" w:eastAsia="zh-CN"/>
        </w:rPr>
        <w:t xml:space="preserve">s progress. FFS what functionality refers to. </w:t>
      </w:r>
    </w:p>
    <w:p w14:paraId="5036AEFB">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 xml:space="preserve">For the granularity of functionality, based on the description in TR 38.843 [3], there may be either one or more than one Functionalities defined within an AI/ML-enabled feature, whereby AI/ML-enabled Feature refers to a Feature where AI/ML may be used.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28F8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1373BD9">
            <w:pPr>
              <w:rPr>
                <w:rFonts w:hint="default" w:ascii="Arial" w:hAnsi="Arial" w:cs="Arial"/>
                <w:sz w:val="20"/>
                <w:szCs w:val="20"/>
                <w:highlight w:val="none"/>
              </w:rPr>
            </w:pPr>
            <w:r>
              <w:rPr>
                <w:rFonts w:hint="default" w:ascii="Arial" w:hAnsi="Arial" w:cs="Arial"/>
                <w:sz w:val="20"/>
                <w:szCs w:val="20"/>
                <w:highlight w:val="none"/>
              </w:rPr>
              <w:t xml:space="preserve">For functionality identification, </w:t>
            </w:r>
            <w:r>
              <w:rPr>
                <w:rFonts w:hint="default" w:ascii="Arial" w:hAnsi="Arial" w:cs="Arial"/>
                <w:sz w:val="20"/>
                <w:szCs w:val="20"/>
                <w:highlight w:val="yellow"/>
              </w:rPr>
              <w:t>there may be either one or more than one Functionalities defined within an AI/ML-enabled feature, whereby AI/ML-enabled Feature refers to a Feature where AI/ML may be used.</w:t>
            </w:r>
            <w:r>
              <w:rPr>
                <w:rFonts w:hint="default" w:ascii="Arial" w:hAnsi="Arial" w:cs="Arial"/>
                <w:sz w:val="20"/>
                <w:szCs w:val="20"/>
                <w:highlight w:val="none"/>
              </w:rPr>
              <w:t xml:space="preserve"> Note: UE may have one AI/ML model for the functionality, or UE may have multiple AI/ML models for the functionality.</w:t>
            </w:r>
          </w:p>
          <w:p w14:paraId="17DA9826">
            <w:pPr>
              <w:rPr>
                <w:rFonts w:hint="eastAsia" w:ascii="Arial" w:hAnsi="Arial" w:cs="Arial"/>
                <w:sz w:val="20"/>
                <w:szCs w:val="20"/>
                <w:vertAlign w:val="baseline"/>
                <w:lang w:val="en-US" w:eastAsia="zh-CN"/>
              </w:rPr>
            </w:pPr>
            <w:r>
              <w:rPr>
                <w:rFonts w:hint="default" w:ascii="Arial" w:hAnsi="Arial" w:cs="Arial"/>
                <w:sz w:val="20"/>
                <w:szCs w:val="20"/>
                <w:highlight w:val="none"/>
              </w:rPr>
              <w:t xml:space="preserve">For </w:t>
            </w:r>
            <w:r>
              <w:rPr>
                <w:rFonts w:hint="default" w:ascii="Arial" w:hAnsi="Arial" w:cs="Arial"/>
                <w:i/>
                <w:iCs/>
                <w:sz w:val="20"/>
                <w:szCs w:val="20"/>
                <w:highlight w:val="none"/>
              </w:rPr>
              <w:t>AI/ML functionality identification</w:t>
            </w:r>
            <w:r>
              <w:rPr>
                <w:rFonts w:hint="default" w:ascii="Arial" w:hAnsi="Arial" w:cs="Arial"/>
                <w:sz w:val="20"/>
                <w:szCs w:val="20"/>
                <w:highlight w:val="none"/>
              </w:rPr>
              <w:t xml:space="preserve"> and </w:t>
            </w:r>
            <w:r>
              <w:rPr>
                <w:rFonts w:hint="default" w:ascii="Arial" w:hAnsi="Arial" w:cs="Arial"/>
                <w:i/>
                <w:iCs/>
                <w:sz w:val="20"/>
                <w:szCs w:val="20"/>
                <w:highlight w:val="none"/>
              </w:rPr>
              <w:t>functionality-based LCM</w:t>
            </w:r>
            <w:r>
              <w:rPr>
                <w:rFonts w:hint="default" w:ascii="Arial" w:hAnsi="Arial" w:cs="Arial"/>
                <w:sz w:val="20"/>
                <w:szCs w:val="20"/>
                <w:highlight w:val="none"/>
              </w:rPr>
              <w:t xml:space="preserve"> of UE-side models and/or UE-part of two-sided models, </w:t>
            </w:r>
            <w:r>
              <w:rPr>
                <w:rFonts w:hint="default" w:ascii="Arial" w:hAnsi="Arial" w:cs="Arial"/>
                <w:i/>
                <w:iCs/>
                <w:sz w:val="20"/>
                <w:szCs w:val="20"/>
                <w:highlight w:val="yellow"/>
              </w:rPr>
              <w:t>functionality</w:t>
            </w:r>
            <w:r>
              <w:rPr>
                <w:rFonts w:hint="default" w:ascii="Arial" w:hAnsi="Arial" w:cs="Arial"/>
                <w:sz w:val="20"/>
                <w:szCs w:val="20"/>
                <w:highlight w:val="yellow"/>
              </w:rPr>
              <w:t xml:space="preserve"> refers to an AI/ML-enabled Feature/FG enabled by configuration(s), where configuration(s) is(are) supported based on conditions indicated by UE capability.</w:t>
            </w:r>
            <w:r>
              <w:rPr>
                <w:rFonts w:hint="default" w:ascii="Arial" w:hAnsi="Arial" w:cs="Arial"/>
                <w:sz w:val="20"/>
                <w:szCs w:val="20"/>
                <w:highlight w:val="none"/>
              </w:rPr>
              <w:t xml:space="preserve"> Correspondingly, </w:t>
            </w:r>
            <w:r>
              <w:rPr>
                <w:rFonts w:hint="default" w:ascii="Arial" w:hAnsi="Arial" w:cs="Arial"/>
                <w:i/>
                <w:iCs/>
                <w:sz w:val="20"/>
                <w:szCs w:val="20"/>
                <w:highlight w:val="none"/>
              </w:rPr>
              <w:t>functionality-based LCM</w:t>
            </w:r>
            <w:r>
              <w:rPr>
                <w:rFonts w:hint="default" w:ascii="Arial" w:hAnsi="Arial" w:cs="Arial"/>
                <w:sz w:val="20"/>
                <w:szCs w:val="20"/>
                <w:highlight w:val="none"/>
              </w:rPr>
              <w:t xml:space="preserve"> operates based on, at least, one configuration of AI/ML-enabled Feature/FG or specific configurations of an AI/ML-enabled Feature/FG. </w:t>
            </w:r>
          </w:p>
        </w:tc>
      </w:tr>
    </w:tbl>
    <w:p w14:paraId="31D59F4D">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Therefore, we understand that AI/ML-enabled Feature can be use case specific or sub-use case specific, e.g. AI/ML-enabled Beam management, AI/ML-enabled Spatial-domain beam prediction, AI/ML-enabled time-domain beam prediction. Furthermore, the functionality has finer granularity than AI/ML-enabled feature.</w:t>
      </w:r>
    </w:p>
    <w:p w14:paraId="7D613754">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Observation 2: Based on the description in TR 38.843, there may be either one or more than one Functionalities defined within an AI/ML-enabled feature, which means that the functionality has finer granularity than AI/ML-enabled feature.</w:t>
      </w:r>
    </w:p>
    <w:p w14:paraId="78AF9CB6">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9: AI/ML-enabled Feature can be use case specific or sub-use case specific, e.g. AI/ML-enabled Beam management, AI/ML-enabled Spatial-domain beam prediction, AI/ML-enabled time-domain beam prediction.</w:t>
      </w:r>
    </w:p>
    <w:p w14:paraId="76625735">
      <w:pPr>
        <w:numPr>
          <w:ilvl w:val="0"/>
          <w:numId w:val="0"/>
        </w:numPr>
        <w:spacing w:before="120" w:beforeLines="50" w:after="120" w:line="260" w:lineRule="exact"/>
        <w:rPr>
          <w:rFonts w:hint="default" w:ascii="Arial" w:hAnsi="Arial" w:cs="Arial"/>
          <w:sz w:val="20"/>
          <w:szCs w:val="20"/>
          <w:lang w:val="en-US" w:eastAsia="zh-CN"/>
        </w:rPr>
      </w:pPr>
      <w:r>
        <w:rPr>
          <w:rFonts w:hint="eastAsia" w:ascii="Arial" w:hAnsi="Arial" w:cs="Arial"/>
          <w:sz w:val="20"/>
          <w:szCs w:val="20"/>
          <w:lang w:val="en-US" w:eastAsia="zh-CN"/>
        </w:rPr>
        <w:t xml:space="preserve">For the granularity of </w:t>
      </w:r>
      <w:r>
        <w:rPr>
          <w:rFonts w:hint="default" w:ascii="Arial" w:hAnsi="Arial" w:cs="Arial"/>
          <w:sz w:val="20"/>
          <w:szCs w:val="20"/>
          <w:lang w:val="en-US" w:eastAsia="zh-CN"/>
        </w:rPr>
        <w:t>functionality</w:t>
      </w:r>
      <w:r>
        <w:rPr>
          <w:rFonts w:hint="eastAsia" w:ascii="Arial" w:hAnsi="Arial" w:cs="Arial"/>
          <w:sz w:val="20"/>
          <w:szCs w:val="20"/>
          <w:lang w:val="en-US" w:eastAsia="zh-CN"/>
        </w:rPr>
        <w:t>, it is represented by configuration which is based on the conditions indicated by UE capability. According to RAN1 progress, we understand that the conditions could be, e.g. supported model input types, supported model output types, etc..</w:t>
      </w:r>
    </w:p>
    <w:p w14:paraId="227C36C5">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Based on the above analysis, for easy understanding, we show some examples for functionalities:</w:t>
      </w:r>
    </w:p>
    <w:p w14:paraId="4E020D1B">
      <w:pPr>
        <w:numPr>
          <w:ilvl w:val="0"/>
          <w:numId w:val="10"/>
        </w:numPr>
        <w:spacing w:before="120" w:beforeLines="50" w:after="120" w:line="260" w:lineRule="exact"/>
        <w:ind w:left="840" w:leftChars="0" w:hanging="420" w:firstLineChars="0"/>
        <w:rPr>
          <w:rFonts w:hint="eastAsia" w:ascii="Arial" w:hAnsi="Arial" w:cs="Arial"/>
          <w:sz w:val="20"/>
          <w:szCs w:val="20"/>
          <w:lang w:val="en-US" w:eastAsia="zh-CN"/>
        </w:rPr>
      </w:pPr>
      <w:r>
        <w:rPr>
          <w:rFonts w:hint="eastAsia" w:ascii="Arial" w:hAnsi="Arial" w:cs="Arial"/>
          <w:sz w:val="20"/>
          <w:szCs w:val="20"/>
          <w:lang w:val="en-US" w:eastAsia="zh-CN"/>
        </w:rPr>
        <w:t>To predict 128 beams results (Set A) using 8 beams results (Set B) as input</w:t>
      </w:r>
    </w:p>
    <w:p w14:paraId="0725C405">
      <w:pPr>
        <w:numPr>
          <w:ilvl w:val="0"/>
          <w:numId w:val="10"/>
        </w:numPr>
        <w:spacing w:before="120" w:beforeLines="50" w:after="120" w:line="260" w:lineRule="exact"/>
        <w:ind w:left="840" w:leftChars="0" w:hanging="420" w:firstLineChars="0"/>
        <w:rPr>
          <w:rFonts w:hint="default" w:ascii="Arial" w:hAnsi="Arial" w:cs="Arial"/>
          <w:sz w:val="20"/>
          <w:szCs w:val="20"/>
          <w:lang w:val="en-US" w:eastAsia="zh-CN"/>
        </w:rPr>
      </w:pPr>
      <w:r>
        <w:rPr>
          <w:rFonts w:hint="eastAsia" w:ascii="Arial" w:hAnsi="Arial" w:cs="Arial"/>
          <w:sz w:val="20"/>
          <w:szCs w:val="20"/>
          <w:lang w:val="en-US" w:eastAsia="zh-CN"/>
        </w:rPr>
        <w:t>To predict 128 beams results (Set A) using 16 beams results (Set B) as input</w:t>
      </w:r>
    </w:p>
    <w:p w14:paraId="16D6828A">
      <w:pPr>
        <w:numPr>
          <w:ilvl w:val="0"/>
          <w:numId w:val="10"/>
        </w:numPr>
        <w:spacing w:before="120" w:beforeLines="50" w:after="120" w:line="260" w:lineRule="exact"/>
        <w:ind w:left="840" w:leftChars="0" w:hanging="420" w:firstLineChars="0"/>
        <w:rPr>
          <w:rFonts w:hint="default" w:ascii="Arial" w:hAnsi="Arial" w:cs="Arial"/>
          <w:sz w:val="20"/>
          <w:szCs w:val="20"/>
          <w:lang w:val="en-US" w:eastAsia="zh-CN"/>
        </w:rPr>
      </w:pPr>
      <w:r>
        <w:rPr>
          <w:rFonts w:hint="eastAsia" w:ascii="Arial" w:hAnsi="Arial" w:cs="Arial"/>
          <w:sz w:val="20"/>
          <w:szCs w:val="20"/>
          <w:lang w:val="en-US" w:eastAsia="zh-CN"/>
        </w:rPr>
        <w:t>To predict the future 4 time instances (Set A) using 4 historic results (Set B) as input</w:t>
      </w:r>
    </w:p>
    <w:p w14:paraId="5F88ABBB">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 xml:space="preserve">For the details of the conditions or functionalities, we think the issue should be decided in RAN1 discussion. </w:t>
      </w:r>
    </w:p>
    <w:p w14:paraId="50C3C161">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Proposal 10: The granularity of functionality is configured by conditions for each AI/ML-enabled feature, where the conditions are indicated by UE capability. The details are up to RAN1 discussion.</w:t>
      </w:r>
    </w:p>
    <w:p w14:paraId="045AEA43">
      <w:pPr>
        <w:numPr>
          <w:ilvl w:val="0"/>
          <w:numId w:val="0"/>
        </w:numPr>
        <w:spacing w:before="120" w:beforeLines="50" w:after="120" w:line="260" w:lineRule="exact"/>
        <w:rPr>
          <w:rFonts w:hint="eastAsia" w:ascii="Arial" w:hAnsi="Arial" w:cs="Arial"/>
          <w:b/>
          <w:bCs/>
          <w:sz w:val="20"/>
          <w:szCs w:val="20"/>
          <w:lang w:val="en-US" w:eastAsia="zh-CN"/>
        </w:rPr>
      </w:pPr>
    </w:p>
    <w:p w14:paraId="37A6ABD4">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3D67037D">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LCM for UE-sided model for beam management</w:t>
      </w:r>
      <w:r>
        <w:rPr>
          <w:rFonts w:ascii="Arial" w:hAnsi="Arial" w:eastAsia="宋体" w:cs="Arial"/>
          <w:kern w:val="0"/>
          <w:sz w:val="20"/>
          <w:szCs w:val="20"/>
          <w:lang w:val="en-GB" w:eastAsia="en-US"/>
        </w:rPr>
        <w:t>.</w:t>
      </w:r>
    </w:p>
    <w:p w14:paraId="30D14118">
      <w:pPr>
        <w:pStyle w:val="9"/>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Arial" w:hAnsi="Arial" w:eastAsia="等线" w:cs="Arial"/>
          <w:b/>
          <w:bCs/>
          <w:i/>
          <w:iCs/>
          <w:sz w:val="20"/>
          <w:szCs w:val="21"/>
          <w:u w:val="single"/>
          <w:lang w:val="en-US" w:eastAsia="zh-CN"/>
        </w:rPr>
      </w:pPr>
      <w:r>
        <w:rPr>
          <w:rFonts w:hint="eastAsia" w:ascii="Arial" w:hAnsi="Arial" w:eastAsia="等线" w:cs="Arial"/>
          <w:b/>
          <w:bCs/>
          <w:i/>
          <w:iCs/>
          <w:sz w:val="20"/>
          <w:szCs w:val="21"/>
          <w:u w:val="single"/>
          <w:lang w:val="en-US" w:eastAsia="zh-CN"/>
        </w:rPr>
        <w:t>Applicable functionality reporting:</w:t>
      </w:r>
    </w:p>
    <w:p w14:paraId="02A9797A">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Observation 1: Providing the inference configuration based on supported functionality will cause unnecessary signaling overhead.</w:t>
      </w:r>
    </w:p>
    <w:p w14:paraId="3704FA29">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Proposal 1: The inference configuration should be provided after UE reports the applicable functionality, i.e. inference configuration is not provided in step 3.</w:t>
      </w:r>
    </w:p>
    <w:p w14:paraId="75245D3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jc w:val="both"/>
        <w:textAlignment w:val="auto"/>
        <w:rPr>
          <w:rFonts w:hint="default" w:ascii="Arial" w:hAnsi="Arial" w:cs="Arial"/>
          <w:b/>
          <w:bCs/>
          <w:sz w:val="20"/>
          <w:szCs w:val="20"/>
          <w:lang w:val="en-US" w:eastAsia="zh-CN"/>
        </w:rPr>
      </w:pPr>
      <w:r>
        <w:rPr>
          <w:rFonts w:hint="eastAsia" w:ascii="Arial" w:hAnsi="Arial" w:cs="Arial"/>
          <w:b/>
          <w:bCs/>
          <w:sz w:val="20"/>
          <w:szCs w:val="20"/>
          <w:lang w:val="en-US" w:eastAsia="zh-CN"/>
        </w:rPr>
        <w:t>Proposal 2: The network always provides the NW-side additional condition to UE for determining the applicable functionality.</w:t>
      </w:r>
    </w:p>
    <w:p w14:paraId="3BE6102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lang w:val="en-US" w:eastAsia="zh-CN"/>
        </w:rPr>
      </w:pPr>
      <w:r>
        <w:rPr>
          <w:rFonts w:hint="eastAsia" w:ascii="Arial" w:hAnsi="Arial" w:cs="Arial"/>
          <w:b/>
          <w:bCs/>
          <w:sz w:val="20"/>
          <w:szCs w:val="20"/>
          <w:lang w:val="en-US" w:eastAsia="zh-CN"/>
        </w:rPr>
        <w:t>Proposal 3: NW-side additional condition will be provided to the UE for proactive and reactive reporting.</w:t>
      </w:r>
    </w:p>
    <w:p w14:paraId="603FD115">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val="0"/>
          <w:bCs w:val="0"/>
          <w:sz w:val="20"/>
          <w:szCs w:val="20"/>
          <w:lang w:val="en-US" w:eastAsia="zh-CN"/>
        </w:rPr>
      </w:pPr>
      <w:r>
        <w:rPr>
          <w:rFonts w:hint="eastAsia" w:ascii="Arial" w:hAnsi="Arial" w:cs="Arial"/>
          <w:b/>
          <w:bCs/>
          <w:sz w:val="20"/>
          <w:szCs w:val="20"/>
          <w:lang w:val="en-US" w:eastAsia="zh-CN"/>
        </w:rPr>
        <w:t>Proposal 4: RRC signaling is used for providing NW-side additional condition as baseline. Whether SIB can also be used depends on the granularity of NW-side additional condition, RAN2 can revise it after RAN1 has further progress.</w:t>
      </w:r>
    </w:p>
    <w:p w14:paraId="0E914E5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sz w:val="20"/>
          <w:szCs w:val="20"/>
          <w:lang w:val="en-US" w:eastAsia="zh-CN"/>
        </w:rPr>
      </w:pPr>
      <w:r>
        <w:rPr>
          <w:rFonts w:hint="eastAsia" w:ascii="Arial" w:hAnsi="Arial" w:cs="Arial"/>
          <w:b/>
          <w:bCs/>
          <w:sz w:val="20"/>
          <w:szCs w:val="22"/>
          <w:lang w:val="en-US" w:eastAsia="zh-CN"/>
        </w:rPr>
        <w:t xml:space="preserve">Proposal 5: </w:t>
      </w:r>
      <w:r>
        <w:rPr>
          <w:rFonts w:hint="default" w:ascii="Arial" w:hAnsi="Arial" w:cs="Arial"/>
          <w:b/>
          <w:bCs/>
          <w:i/>
          <w:iCs/>
          <w:sz w:val="20"/>
          <w:szCs w:val="22"/>
        </w:rPr>
        <w:t>RRCReconfiguraitonComplete</w:t>
      </w:r>
      <w:r>
        <w:rPr>
          <w:rFonts w:hint="eastAsia" w:ascii="Arial" w:hAnsi="Arial" w:cs="Arial"/>
          <w:b/>
          <w:bCs/>
          <w:i/>
          <w:iCs/>
          <w:sz w:val="20"/>
          <w:szCs w:val="22"/>
          <w:lang w:val="en-US" w:eastAsia="zh-CN"/>
        </w:rPr>
        <w:t xml:space="preserve"> </w:t>
      </w:r>
      <w:r>
        <w:rPr>
          <w:rFonts w:hint="eastAsia" w:ascii="Arial" w:hAnsi="Arial" w:cs="Arial"/>
          <w:b/>
          <w:bCs/>
          <w:i w:val="0"/>
          <w:iCs w:val="0"/>
          <w:sz w:val="20"/>
          <w:szCs w:val="22"/>
          <w:lang w:val="en-US" w:eastAsia="zh-CN"/>
        </w:rPr>
        <w:t xml:space="preserve">message is used for the </w:t>
      </w:r>
      <w:r>
        <w:rPr>
          <w:rFonts w:hint="eastAsia" w:ascii="Arial" w:hAnsi="Arial" w:cs="Arial"/>
          <w:b/>
          <w:bCs/>
          <w:sz w:val="20"/>
          <w:szCs w:val="20"/>
          <w:lang w:val="en-US" w:eastAsia="zh-CN"/>
        </w:rPr>
        <w:t>reactive reporting of applicable functionalities.</w:t>
      </w:r>
    </w:p>
    <w:p w14:paraId="7656986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eastAsiaTheme="minorEastAsia"/>
          <w:b/>
          <w:bCs/>
          <w:sz w:val="20"/>
          <w:szCs w:val="20"/>
          <w:lang w:val="en-US" w:eastAsia="zh-CN"/>
        </w:rPr>
      </w:pPr>
      <w:r>
        <w:rPr>
          <w:rFonts w:hint="eastAsia" w:ascii="Arial" w:hAnsi="Arial" w:cs="Arial"/>
          <w:b/>
          <w:bCs/>
          <w:sz w:val="20"/>
          <w:szCs w:val="22"/>
          <w:lang w:val="en-US" w:eastAsia="zh-CN"/>
        </w:rPr>
        <w:t>Proposal 6: The proactive and reactive approach can be coexist, the proactive reporting (i.e. UAI framework) is used when the applicability functionalities changes, and the reactive reporting is used as response to the network configuration immediately</w:t>
      </w:r>
      <w:r>
        <w:rPr>
          <w:rFonts w:hint="eastAsia" w:ascii="Arial" w:hAnsi="Arial" w:cs="Arial"/>
          <w:b/>
          <w:bCs/>
          <w:sz w:val="20"/>
          <w:szCs w:val="20"/>
          <w:lang w:val="en-US" w:eastAsia="zh-CN"/>
        </w:rPr>
        <w:t>.</w:t>
      </w:r>
    </w:p>
    <w:p w14:paraId="7E697075">
      <w:pPr>
        <w:numPr>
          <w:ilvl w:val="0"/>
          <w:numId w:val="0"/>
        </w:numPr>
        <w:spacing w:before="120" w:beforeLines="50" w:after="120" w:line="260" w:lineRule="exact"/>
        <w:rPr>
          <w:rFonts w:hint="eastAsia" w:ascii="Arial" w:hAnsi="Arial" w:eastAsia="等线" w:cs="Arial"/>
          <w:b/>
          <w:bCs/>
          <w:i/>
          <w:iCs/>
          <w:sz w:val="20"/>
          <w:szCs w:val="21"/>
          <w:u w:val="single"/>
          <w:lang w:val="en-US" w:eastAsia="zh-CN"/>
        </w:rPr>
      </w:pPr>
      <w:r>
        <w:rPr>
          <w:rFonts w:hint="eastAsia" w:ascii="Arial" w:hAnsi="Arial" w:cs="Arial"/>
          <w:b/>
          <w:bCs/>
          <w:sz w:val="20"/>
          <w:szCs w:val="22"/>
          <w:lang w:val="en-US" w:eastAsia="zh-CN"/>
        </w:rPr>
        <w:t>Proposal 7: Whether the applicable functionality of neighbor cells can be reported should depends on RAN1</w:t>
      </w:r>
      <w:r>
        <w:rPr>
          <w:rFonts w:hint="default" w:ascii="Arial" w:hAnsi="Arial" w:cs="Arial"/>
          <w:b/>
          <w:bCs/>
          <w:sz w:val="20"/>
          <w:szCs w:val="22"/>
          <w:lang w:val="en-US" w:eastAsia="zh-CN"/>
        </w:rPr>
        <w:t>’</w:t>
      </w:r>
      <w:r>
        <w:rPr>
          <w:rFonts w:hint="eastAsia" w:ascii="Arial" w:hAnsi="Arial" w:cs="Arial"/>
          <w:b/>
          <w:bCs/>
          <w:sz w:val="20"/>
          <w:szCs w:val="22"/>
          <w:lang w:val="en-US" w:eastAsia="zh-CN"/>
        </w:rPr>
        <w:t xml:space="preserve"> progress on associated ID. </w:t>
      </w:r>
      <w:bookmarkStart w:id="0" w:name="_GoBack"/>
      <w:bookmarkEnd w:id="0"/>
    </w:p>
    <w:p w14:paraId="244710A2">
      <w:pPr>
        <w:spacing w:before="120" w:beforeLines="50" w:after="120" w:line="260" w:lineRule="exact"/>
        <w:rPr>
          <w:rFonts w:hint="default" w:ascii="Arial" w:hAnsi="Arial" w:eastAsia="等线" w:cs="Arial"/>
          <w:b/>
          <w:bCs/>
          <w:i/>
          <w:iCs/>
          <w:sz w:val="20"/>
          <w:szCs w:val="21"/>
          <w:u w:val="single"/>
          <w:lang w:val="en-US" w:eastAsia="zh-CN"/>
        </w:rPr>
      </w:pPr>
      <w:r>
        <w:rPr>
          <w:rFonts w:hint="eastAsia" w:ascii="Arial" w:hAnsi="Arial" w:eastAsia="等线" w:cs="Arial"/>
          <w:b/>
          <w:bCs/>
          <w:i/>
          <w:iCs/>
          <w:sz w:val="20"/>
          <w:szCs w:val="21"/>
          <w:u w:val="single"/>
          <w:lang w:val="en-US" w:eastAsia="zh-CN"/>
        </w:rPr>
        <w:t>Functionality activation/deactivation</w:t>
      </w:r>
    </w:p>
    <w:p w14:paraId="54DBD80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eastAsia" w:ascii="Arial" w:hAnsi="Arial" w:eastAsia="等线" w:cs="Arial"/>
          <w:b/>
          <w:bCs/>
          <w:i/>
          <w:iCs/>
          <w:sz w:val="20"/>
          <w:szCs w:val="21"/>
          <w:u w:val="single"/>
          <w:lang w:val="en-US" w:eastAsia="zh-CN"/>
        </w:rPr>
      </w:pPr>
      <w:r>
        <w:rPr>
          <w:rFonts w:hint="eastAsia" w:ascii="Arial" w:hAnsi="Arial" w:cs="Arial"/>
          <w:b/>
          <w:bCs/>
          <w:sz w:val="20"/>
          <w:szCs w:val="22"/>
          <w:lang w:val="en-US" w:eastAsia="zh-CN"/>
        </w:rPr>
        <w:t xml:space="preserve">Proposal 8: Whether to introduce L1/L2 signaling for functionality activation/deactivation is up to RAN1. </w:t>
      </w:r>
    </w:p>
    <w:p w14:paraId="6EA14AED">
      <w:pPr>
        <w:spacing w:before="120" w:beforeLines="50" w:after="120" w:line="260" w:lineRule="exact"/>
        <w:rPr>
          <w:rFonts w:hint="eastAsia" w:ascii="Arial" w:hAnsi="Arial" w:eastAsia="等线" w:cs="Arial"/>
          <w:b/>
          <w:bCs/>
          <w:i/>
          <w:iCs/>
          <w:sz w:val="20"/>
          <w:szCs w:val="21"/>
          <w:u w:val="single"/>
          <w:lang w:val="en-US" w:eastAsia="zh-CN"/>
        </w:rPr>
      </w:pPr>
      <w:r>
        <w:rPr>
          <w:rFonts w:hint="eastAsia" w:ascii="Arial" w:hAnsi="Arial" w:eastAsia="等线" w:cs="Arial"/>
          <w:b/>
          <w:bCs/>
          <w:i/>
          <w:iCs/>
          <w:sz w:val="20"/>
          <w:szCs w:val="21"/>
          <w:u w:val="single"/>
          <w:lang w:val="en-US" w:eastAsia="zh-CN"/>
        </w:rPr>
        <w:t>Granularity of AI/ML-enabled Feature and functionality:</w:t>
      </w:r>
    </w:p>
    <w:p w14:paraId="331E51C7">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Observation 2: Based on the description in TR 38.843, there may be either one or more than one Functionalities defined within an AI/ML-enabled feature, which means that the functionality has finer granularity than AI/ML-enabled feature.</w:t>
      </w:r>
    </w:p>
    <w:p w14:paraId="4408332E">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Proposal 9: AI/ML-enabled Feature can be use case specific or sub-use case specific, e.g. AI/ML-enabled Beam management, AI/ML-enabled Spatial-domain beam prediction, AI/ML-enabled time-domain beam prediction.</w:t>
      </w:r>
    </w:p>
    <w:p w14:paraId="73E72C68">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10: The granularity of functionality is conditions specific for each AI/ML-enabled feature, where the conditions are indicated by UE capability. The details are up to RAN1 discussion.</w:t>
      </w:r>
    </w:p>
    <w:p w14:paraId="2359DE00">
      <w:pPr>
        <w:pStyle w:val="9"/>
        <w:spacing w:before="120" w:beforeLines="50" w:after="120" w:line="260" w:lineRule="exact"/>
        <w:ind w:leftChars="0"/>
        <w:rPr>
          <w:rFonts w:hint="eastAsia" w:ascii="Arial" w:hAnsi="Arial" w:cs="Arial"/>
          <w:b/>
          <w:bCs w:val="0"/>
          <w:sz w:val="20"/>
          <w:szCs w:val="20"/>
          <w:lang w:val="en-US" w:eastAsia="zh-CN"/>
        </w:rPr>
      </w:pPr>
    </w:p>
    <w:p w14:paraId="793C40C1">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6399B016">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Draft_R2_126_Meeting_Report_v2</w:t>
      </w:r>
    </w:p>
    <w:p w14:paraId="182FB4DD">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[POST126][032][AI/ML PHY] LCM (Intel/Samsung)</w:t>
      </w:r>
    </w:p>
    <w:p w14:paraId="5E70DF57">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rPr>
        <w:t>TR 38.843 Study on Artificial Intelligence (AI)/Machine Learning (ML) for NR air interface</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CEA6C78"/>
    <w:multiLevelType w:val="multilevel"/>
    <w:tmpl w:val="1CEA6C7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4EB5758"/>
    <w:multiLevelType w:val="multilevel"/>
    <w:tmpl w:val="34EB57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437A2A48"/>
    <w:multiLevelType w:val="singleLevel"/>
    <w:tmpl w:val="437A2A48"/>
    <w:lvl w:ilvl="0" w:tentative="0">
      <w:start w:val="1"/>
      <w:numFmt w:val="lowerLetter"/>
      <w:suff w:val="space"/>
      <w:lvlText w:val="%1)"/>
      <w:lvlJc w:val="left"/>
    </w:lvl>
  </w:abstractNum>
  <w:abstractNum w:abstractNumId="6">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50BED944"/>
    <w:multiLevelType w:val="singleLevel"/>
    <w:tmpl w:val="50BED944"/>
    <w:lvl w:ilvl="0" w:tentative="0">
      <w:start w:val="1"/>
      <w:numFmt w:val="decimal"/>
      <w:lvlText w:val="%1"/>
      <w:lvlJc w:val="left"/>
    </w:lvl>
  </w:abstractNum>
  <w:abstractNum w:abstractNumId="8">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5D7F714"/>
    <w:multiLevelType w:val="singleLevel"/>
    <w:tmpl w:val="75D7F714"/>
    <w:lvl w:ilvl="0" w:tentative="0">
      <w:start w:val="1"/>
      <w:numFmt w:val="bullet"/>
      <w:lvlText w:val=""/>
      <w:lvlJc w:val="left"/>
      <w:pPr>
        <w:tabs>
          <w:tab w:val="left" w:pos="420"/>
        </w:tabs>
        <w:ind w:left="840" w:leftChars="0" w:hanging="420" w:firstLineChars="0"/>
      </w:pPr>
      <w:rPr>
        <w:rFonts w:hint="default" w:ascii="Wingdings" w:hAnsi="Wingdings"/>
        <w:sz w:val="16"/>
      </w:rPr>
    </w:lvl>
  </w:abstractNum>
  <w:num w:numId="1">
    <w:abstractNumId w:val="6"/>
  </w:num>
  <w:num w:numId="2">
    <w:abstractNumId w:val="0"/>
  </w:num>
  <w:num w:numId="3">
    <w:abstractNumId w:val="9"/>
  </w:num>
  <w:num w:numId="4">
    <w:abstractNumId w:val="8"/>
  </w:num>
  <w:num w:numId="5">
    <w:abstractNumId w:val="7"/>
  </w:num>
  <w:num w:numId="6">
    <w:abstractNumId w:val="2"/>
  </w:num>
  <w:num w:numId="7">
    <w:abstractNumId w:val="5"/>
  </w:num>
  <w:num w:numId="8">
    <w:abstractNumId w:val="1"/>
  </w:num>
  <w:num w:numId="9">
    <w:abstractNumId w:val="3"/>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A2F29"/>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569"/>
    <w:rsid w:val="00ED765C"/>
    <w:rsid w:val="00EF5EE1"/>
    <w:rsid w:val="00F02DFE"/>
    <w:rsid w:val="00F05AB0"/>
    <w:rsid w:val="00F0760F"/>
    <w:rsid w:val="00F33D13"/>
    <w:rsid w:val="00F47D8B"/>
    <w:rsid w:val="00F50B60"/>
    <w:rsid w:val="00F627D0"/>
    <w:rsid w:val="00F841B6"/>
    <w:rsid w:val="00F92EA1"/>
    <w:rsid w:val="00FE674B"/>
    <w:rsid w:val="01041DE1"/>
    <w:rsid w:val="016C5974"/>
    <w:rsid w:val="016E658B"/>
    <w:rsid w:val="01763BCE"/>
    <w:rsid w:val="01840FB9"/>
    <w:rsid w:val="01893B84"/>
    <w:rsid w:val="01A0498E"/>
    <w:rsid w:val="01A574CF"/>
    <w:rsid w:val="01A60C1B"/>
    <w:rsid w:val="01D3030E"/>
    <w:rsid w:val="01DC09D2"/>
    <w:rsid w:val="01E966BF"/>
    <w:rsid w:val="02002EF1"/>
    <w:rsid w:val="02042EE5"/>
    <w:rsid w:val="02395107"/>
    <w:rsid w:val="024029EF"/>
    <w:rsid w:val="028320CF"/>
    <w:rsid w:val="029B08C6"/>
    <w:rsid w:val="02A424C3"/>
    <w:rsid w:val="02B71025"/>
    <w:rsid w:val="02F44A56"/>
    <w:rsid w:val="02FA6D08"/>
    <w:rsid w:val="0300491B"/>
    <w:rsid w:val="030E32B0"/>
    <w:rsid w:val="03190295"/>
    <w:rsid w:val="03280770"/>
    <w:rsid w:val="03877AE8"/>
    <w:rsid w:val="038A1F16"/>
    <w:rsid w:val="04024C95"/>
    <w:rsid w:val="041A101A"/>
    <w:rsid w:val="04861CA0"/>
    <w:rsid w:val="049973F4"/>
    <w:rsid w:val="049D4FC2"/>
    <w:rsid w:val="04A12BB9"/>
    <w:rsid w:val="04A37BF0"/>
    <w:rsid w:val="04F25DBA"/>
    <w:rsid w:val="04F46CEE"/>
    <w:rsid w:val="04FD5053"/>
    <w:rsid w:val="05317C81"/>
    <w:rsid w:val="0535282D"/>
    <w:rsid w:val="054134AD"/>
    <w:rsid w:val="05570B15"/>
    <w:rsid w:val="056C27CB"/>
    <w:rsid w:val="0571089C"/>
    <w:rsid w:val="058844D8"/>
    <w:rsid w:val="05A625A8"/>
    <w:rsid w:val="05AD7C3D"/>
    <w:rsid w:val="05B81468"/>
    <w:rsid w:val="05B92B80"/>
    <w:rsid w:val="05CC288F"/>
    <w:rsid w:val="05FB3716"/>
    <w:rsid w:val="061355E6"/>
    <w:rsid w:val="064F5C41"/>
    <w:rsid w:val="067054D9"/>
    <w:rsid w:val="067C1A37"/>
    <w:rsid w:val="069766D8"/>
    <w:rsid w:val="06C73D4E"/>
    <w:rsid w:val="06C7558E"/>
    <w:rsid w:val="06D76F03"/>
    <w:rsid w:val="06DA676D"/>
    <w:rsid w:val="06EA3869"/>
    <w:rsid w:val="06EB297F"/>
    <w:rsid w:val="06F44776"/>
    <w:rsid w:val="070A46CE"/>
    <w:rsid w:val="071830B3"/>
    <w:rsid w:val="07232B13"/>
    <w:rsid w:val="072E12A5"/>
    <w:rsid w:val="072E4FA9"/>
    <w:rsid w:val="07554650"/>
    <w:rsid w:val="075F5104"/>
    <w:rsid w:val="079F7BD5"/>
    <w:rsid w:val="07CC0B7F"/>
    <w:rsid w:val="07E678A9"/>
    <w:rsid w:val="080B0E60"/>
    <w:rsid w:val="08241B14"/>
    <w:rsid w:val="08346E32"/>
    <w:rsid w:val="084F3982"/>
    <w:rsid w:val="08566507"/>
    <w:rsid w:val="0870581B"/>
    <w:rsid w:val="08BD2F14"/>
    <w:rsid w:val="08D80E0C"/>
    <w:rsid w:val="09085B92"/>
    <w:rsid w:val="09143645"/>
    <w:rsid w:val="093223D0"/>
    <w:rsid w:val="09414F75"/>
    <w:rsid w:val="094470AB"/>
    <w:rsid w:val="09554A11"/>
    <w:rsid w:val="095A6DFD"/>
    <w:rsid w:val="09926330"/>
    <w:rsid w:val="09AD7F7C"/>
    <w:rsid w:val="09B92009"/>
    <w:rsid w:val="09C411E9"/>
    <w:rsid w:val="09D63199"/>
    <w:rsid w:val="09F124DC"/>
    <w:rsid w:val="09F8719E"/>
    <w:rsid w:val="0A0C3321"/>
    <w:rsid w:val="0A0C359D"/>
    <w:rsid w:val="0A103B20"/>
    <w:rsid w:val="0A1469F1"/>
    <w:rsid w:val="0A173D8A"/>
    <w:rsid w:val="0A2E773B"/>
    <w:rsid w:val="0A6E0808"/>
    <w:rsid w:val="0AA35EAE"/>
    <w:rsid w:val="0AA412DD"/>
    <w:rsid w:val="0AAC7074"/>
    <w:rsid w:val="0AB622D1"/>
    <w:rsid w:val="0ADE2342"/>
    <w:rsid w:val="0AE21792"/>
    <w:rsid w:val="0AF33383"/>
    <w:rsid w:val="0AFA4AC7"/>
    <w:rsid w:val="0AFD0EBC"/>
    <w:rsid w:val="0B054A96"/>
    <w:rsid w:val="0B11078A"/>
    <w:rsid w:val="0B1B28B6"/>
    <w:rsid w:val="0B7B639C"/>
    <w:rsid w:val="0B7E67EB"/>
    <w:rsid w:val="0B96175E"/>
    <w:rsid w:val="0BB30DB5"/>
    <w:rsid w:val="0BB81E48"/>
    <w:rsid w:val="0BD639B6"/>
    <w:rsid w:val="0BE427FA"/>
    <w:rsid w:val="0BF550E1"/>
    <w:rsid w:val="0C202296"/>
    <w:rsid w:val="0C415301"/>
    <w:rsid w:val="0C4853AF"/>
    <w:rsid w:val="0C5466CF"/>
    <w:rsid w:val="0C6C1EE0"/>
    <w:rsid w:val="0C6D2AE5"/>
    <w:rsid w:val="0C7F3E15"/>
    <w:rsid w:val="0C8344BF"/>
    <w:rsid w:val="0CA51952"/>
    <w:rsid w:val="0CC05689"/>
    <w:rsid w:val="0CD5224C"/>
    <w:rsid w:val="0CE47224"/>
    <w:rsid w:val="0CED527E"/>
    <w:rsid w:val="0D0D463A"/>
    <w:rsid w:val="0D362C45"/>
    <w:rsid w:val="0D5F0F66"/>
    <w:rsid w:val="0D6C40D7"/>
    <w:rsid w:val="0D711EBE"/>
    <w:rsid w:val="0D771EA7"/>
    <w:rsid w:val="0D8E7D4D"/>
    <w:rsid w:val="0DA728AC"/>
    <w:rsid w:val="0DAD175B"/>
    <w:rsid w:val="0DE11C21"/>
    <w:rsid w:val="0DE14E46"/>
    <w:rsid w:val="0E173F17"/>
    <w:rsid w:val="0E232E17"/>
    <w:rsid w:val="0E3D4FDF"/>
    <w:rsid w:val="0E4A09D7"/>
    <w:rsid w:val="0E554683"/>
    <w:rsid w:val="0E56201A"/>
    <w:rsid w:val="0E6E3C34"/>
    <w:rsid w:val="0EAF327B"/>
    <w:rsid w:val="0ECE6830"/>
    <w:rsid w:val="0F1D748A"/>
    <w:rsid w:val="0F3701CB"/>
    <w:rsid w:val="0F4E079B"/>
    <w:rsid w:val="0F732504"/>
    <w:rsid w:val="0F782620"/>
    <w:rsid w:val="0F8A7784"/>
    <w:rsid w:val="0F8C51E0"/>
    <w:rsid w:val="0FA82F44"/>
    <w:rsid w:val="0FC803F4"/>
    <w:rsid w:val="10090A65"/>
    <w:rsid w:val="105502AF"/>
    <w:rsid w:val="108B22CD"/>
    <w:rsid w:val="10AC6F3F"/>
    <w:rsid w:val="10C31C47"/>
    <w:rsid w:val="10C64AE7"/>
    <w:rsid w:val="10F04644"/>
    <w:rsid w:val="110171B2"/>
    <w:rsid w:val="11171B9A"/>
    <w:rsid w:val="111F30A5"/>
    <w:rsid w:val="11900A86"/>
    <w:rsid w:val="119B1CE5"/>
    <w:rsid w:val="11B90EBA"/>
    <w:rsid w:val="11D44799"/>
    <w:rsid w:val="11D65F4E"/>
    <w:rsid w:val="11E4251C"/>
    <w:rsid w:val="11E53066"/>
    <w:rsid w:val="1236016D"/>
    <w:rsid w:val="123900DB"/>
    <w:rsid w:val="123B6254"/>
    <w:rsid w:val="12587198"/>
    <w:rsid w:val="1271386C"/>
    <w:rsid w:val="1290495A"/>
    <w:rsid w:val="12934DEA"/>
    <w:rsid w:val="12A73823"/>
    <w:rsid w:val="12B04029"/>
    <w:rsid w:val="12BD5E5F"/>
    <w:rsid w:val="12DA4242"/>
    <w:rsid w:val="130A48C3"/>
    <w:rsid w:val="132303DD"/>
    <w:rsid w:val="1331496D"/>
    <w:rsid w:val="13392934"/>
    <w:rsid w:val="13583AE1"/>
    <w:rsid w:val="1358580E"/>
    <w:rsid w:val="135A6265"/>
    <w:rsid w:val="136A73BB"/>
    <w:rsid w:val="139327D8"/>
    <w:rsid w:val="13A46671"/>
    <w:rsid w:val="13D36FA4"/>
    <w:rsid w:val="14256000"/>
    <w:rsid w:val="143F0C8B"/>
    <w:rsid w:val="1466786F"/>
    <w:rsid w:val="14964725"/>
    <w:rsid w:val="14A668A4"/>
    <w:rsid w:val="14A9029F"/>
    <w:rsid w:val="14B83431"/>
    <w:rsid w:val="14E836E8"/>
    <w:rsid w:val="14F142C3"/>
    <w:rsid w:val="150B6FBF"/>
    <w:rsid w:val="1511444B"/>
    <w:rsid w:val="15185C1A"/>
    <w:rsid w:val="152B1104"/>
    <w:rsid w:val="154A66B0"/>
    <w:rsid w:val="159C7EDD"/>
    <w:rsid w:val="15BE553B"/>
    <w:rsid w:val="15E03E14"/>
    <w:rsid w:val="15E4550B"/>
    <w:rsid w:val="15E9482E"/>
    <w:rsid w:val="161147C5"/>
    <w:rsid w:val="16327956"/>
    <w:rsid w:val="166A7A3B"/>
    <w:rsid w:val="16725680"/>
    <w:rsid w:val="168A3E14"/>
    <w:rsid w:val="168B0BBD"/>
    <w:rsid w:val="16A3322F"/>
    <w:rsid w:val="16C120B7"/>
    <w:rsid w:val="16CD3708"/>
    <w:rsid w:val="16D51B5B"/>
    <w:rsid w:val="16D7712F"/>
    <w:rsid w:val="1725136A"/>
    <w:rsid w:val="174B60F1"/>
    <w:rsid w:val="17916AE6"/>
    <w:rsid w:val="179D12F3"/>
    <w:rsid w:val="17AE49E6"/>
    <w:rsid w:val="17CD5A7B"/>
    <w:rsid w:val="18035F6A"/>
    <w:rsid w:val="184B1F38"/>
    <w:rsid w:val="185C58E1"/>
    <w:rsid w:val="186366A3"/>
    <w:rsid w:val="187A66B9"/>
    <w:rsid w:val="1881324F"/>
    <w:rsid w:val="18A246AF"/>
    <w:rsid w:val="18AC4909"/>
    <w:rsid w:val="18F32680"/>
    <w:rsid w:val="18F80417"/>
    <w:rsid w:val="18FE1274"/>
    <w:rsid w:val="192F165F"/>
    <w:rsid w:val="195E3B99"/>
    <w:rsid w:val="196E4FB3"/>
    <w:rsid w:val="19C51AEA"/>
    <w:rsid w:val="19CE1BFF"/>
    <w:rsid w:val="19D951ED"/>
    <w:rsid w:val="1A1C0B7B"/>
    <w:rsid w:val="1A323A0D"/>
    <w:rsid w:val="1A40430B"/>
    <w:rsid w:val="1A4C49E1"/>
    <w:rsid w:val="1A7D140B"/>
    <w:rsid w:val="1A9A126F"/>
    <w:rsid w:val="1AA4601E"/>
    <w:rsid w:val="1ABB3621"/>
    <w:rsid w:val="1ABF7C53"/>
    <w:rsid w:val="1ADE6206"/>
    <w:rsid w:val="1AE7452F"/>
    <w:rsid w:val="1B073464"/>
    <w:rsid w:val="1B176DAE"/>
    <w:rsid w:val="1B5E2B2B"/>
    <w:rsid w:val="1B9E2247"/>
    <w:rsid w:val="1BB22919"/>
    <w:rsid w:val="1BF91505"/>
    <w:rsid w:val="1BFC2067"/>
    <w:rsid w:val="1C064DE2"/>
    <w:rsid w:val="1C263D41"/>
    <w:rsid w:val="1C6673DB"/>
    <w:rsid w:val="1C6A1BB2"/>
    <w:rsid w:val="1C726F5B"/>
    <w:rsid w:val="1C7B60E4"/>
    <w:rsid w:val="1C87732E"/>
    <w:rsid w:val="1CC529AF"/>
    <w:rsid w:val="1CC914E2"/>
    <w:rsid w:val="1CD81789"/>
    <w:rsid w:val="1D031FA5"/>
    <w:rsid w:val="1D4D1FA4"/>
    <w:rsid w:val="1D700D25"/>
    <w:rsid w:val="1DA1677A"/>
    <w:rsid w:val="1DA90A2F"/>
    <w:rsid w:val="1DB26D48"/>
    <w:rsid w:val="1DC07338"/>
    <w:rsid w:val="1DE55E1B"/>
    <w:rsid w:val="1DEA2636"/>
    <w:rsid w:val="1E015BFF"/>
    <w:rsid w:val="1E0717B3"/>
    <w:rsid w:val="1E261FEC"/>
    <w:rsid w:val="1E5D014C"/>
    <w:rsid w:val="1E5E36D4"/>
    <w:rsid w:val="1E625159"/>
    <w:rsid w:val="1E6C052F"/>
    <w:rsid w:val="1E8017FF"/>
    <w:rsid w:val="1E8A1312"/>
    <w:rsid w:val="1EB31B66"/>
    <w:rsid w:val="1EB529F8"/>
    <w:rsid w:val="1EDA06DF"/>
    <w:rsid w:val="1EE73F05"/>
    <w:rsid w:val="1EF17AB3"/>
    <w:rsid w:val="1EFA50FC"/>
    <w:rsid w:val="1F1F4D17"/>
    <w:rsid w:val="1F27275C"/>
    <w:rsid w:val="1F8A3BD5"/>
    <w:rsid w:val="1FE63CE8"/>
    <w:rsid w:val="201646BB"/>
    <w:rsid w:val="20254C14"/>
    <w:rsid w:val="203F22FB"/>
    <w:rsid w:val="205E7BE3"/>
    <w:rsid w:val="207A2C6F"/>
    <w:rsid w:val="208A18F1"/>
    <w:rsid w:val="208D63E6"/>
    <w:rsid w:val="20A506BA"/>
    <w:rsid w:val="20B65FAF"/>
    <w:rsid w:val="20F63843"/>
    <w:rsid w:val="20FE18B0"/>
    <w:rsid w:val="21376EA4"/>
    <w:rsid w:val="21513A3C"/>
    <w:rsid w:val="215A766D"/>
    <w:rsid w:val="21667FDB"/>
    <w:rsid w:val="2193597C"/>
    <w:rsid w:val="219C1508"/>
    <w:rsid w:val="21A86335"/>
    <w:rsid w:val="21FA5606"/>
    <w:rsid w:val="22046DF1"/>
    <w:rsid w:val="22052B11"/>
    <w:rsid w:val="220A4513"/>
    <w:rsid w:val="227C53D9"/>
    <w:rsid w:val="229575D0"/>
    <w:rsid w:val="2297087C"/>
    <w:rsid w:val="22B32E1B"/>
    <w:rsid w:val="22CD6AE0"/>
    <w:rsid w:val="232C553F"/>
    <w:rsid w:val="236906A5"/>
    <w:rsid w:val="2375481A"/>
    <w:rsid w:val="23797368"/>
    <w:rsid w:val="23822B30"/>
    <w:rsid w:val="238241FC"/>
    <w:rsid w:val="23B06B01"/>
    <w:rsid w:val="23B828A0"/>
    <w:rsid w:val="23C250CF"/>
    <w:rsid w:val="23C640E9"/>
    <w:rsid w:val="23EE120B"/>
    <w:rsid w:val="2403705B"/>
    <w:rsid w:val="24110B80"/>
    <w:rsid w:val="24550B03"/>
    <w:rsid w:val="24572D18"/>
    <w:rsid w:val="24930512"/>
    <w:rsid w:val="249D5D77"/>
    <w:rsid w:val="24B445FB"/>
    <w:rsid w:val="24BD6504"/>
    <w:rsid w:val="24C74F14"/>
    <w:rsid w:val="24CF6FCD"/>
    <w:rsid w:val="24D708E2"/>
    <w:rsid w:val="24FB6730"/>
    <w:rsid w:val="251B6F7E"/>
    <w:rsid w:val="252515BC"/>
    <w:rsid w:val="25787665"/>
    <w:rsid w:val="25826443"/>
    <w:rsid w:val="25F5013E"/>
    <w:rsid w:val="262A1C6D"/>
    <w:rsid w:val="262F627F"/>
    <w:rsid w:val="26315BFD"/>
    <w:rsid w:val="264A4407"/>
    <w:rsid w:val="26537397"/>
    <w:rsid w:val="26590269"/>
    <w:rsid w:val="2660154C"/>
    <w:rsid w:val="26A276B5"/>
    <w:rsid w:val="26BA68C7"/>
    <w:rsid w:val="26BB1824"/>
    <w:rsid w:val="26BF5E40"/>
    <w:rsid w:val="26C01EE7"/>
    <w:rsid w:val="26F237CD"/>
    <w:rsid w:val="2719754A"/>
    <w:rsid w:val="271F0DF6"/>
    <w:rsid w:val="2725126B"/>
    <w:rsid w:val="274C2D2B"/>
    <w:rsid w:val="27743E5C"/>
    <w:rsid w:val="2796594E"/>
    <w:rsid w:val="27BC024E"/>
    <w:rsid w:val="27BE3E87"/>
    <w:rsid w:val="27C17045"/>
    <w:rsid w:val="27C35275"/>
    <w:rsid w:val="283167B4"/>
    <w:rsid w:val="28682A73"/>
    <w:rsid w:val="28806895"/>
    <w:rsid w:val="28985F92"/>
    <w:rsid w:val="289D577F"/>
    <w:rsid w:val="28E404D9"/>
    <w:rsid w:val="28F4407D"/>
    <w:rsid w:val="291138C7"/>
    <w:rsid w:val="29120E51"/>
    <w:rsid w:val="292B321E"/>
    <w:rsid w:val="29733D9F"/>
    <w:rsid w:val="29A61468"/>
    <w:rsid w:val="29BE37C1"/>
    <w:rsid w:val="29CE3CF8"/>
    <w:rsid w:val="2A2A2E8D"/>
    <w:rsid w:val="2A5039D7"/>
    <w:rsid w:val="2A665688"/>
    <w:rsid w:val="2A7D74CC"/>
    <w:rsid w:val="2A7F4563"/>
    <w:rsid w:val="2AA42E13"/>
    <w:rsid w:val="2AC3696A"/>
    <w:rsid w:val="2ACF09B7"/>
    <w:rsid w:val="2B0C4777"/>
    <w:rsid w:val="2B0F36E3"/>
    <w:rsid w:val="2B3F4C1F"/>
    <w:rsid w:val="2B4D1216"/>
    <w:rsid w:val="2B5215B6"/>
    <w:rsid w:val="2B551B2C"/>
    <w:rsid w:val="2B58393A"/>
    <w:rsid w:val="2B665680"/>
    <w:rsid w:val="2B8030A5"/>
    <w:rsid w:val="2BE06712"/>
    <w:rsid w:val="2BE23A8A"/>
    <w:rsid w:val="2BFA0DD4"/>
    <w:rsid w:val="2C095760"/>
    <w:rsid w:val="2C0D429C"/>
    <w:rsid w:val="2C6E581C"/>
    <w:rsid w:val="2C7A7AA0"/>
    <w:rsid w:val="2CA30589"/>
    <w:rsid w:val="2CE026DB"/>
    <w:rsid w:val="2D146D2C"/>
    <w:rsid w:val="2D155FB3"/>
    <w:rsid w:val="2D3B7B03"/>
    <w:rsid w:val="2D440581"/>
    <w:rsid w:val="2D470656"/>
    <w:rsid w:val="2D493ADC"/>
    <w:rsid w:val="2D493B59"/>
    <w:rsid w:val="2D55451C"/>
    <w:rsid w:val="2D5B158F"/>
    <w:rsid w:val="2D7B5269"/>
    <w:rsid w:val="2DD85F0E"/>
    <w:rsid w:val="2DF144D1"/>
    <w:rsid w:val="2DFB6036"/>
    <w:rsid w:val="2E2A6622"/>
    <w:rsid w:val="2E3472AB"/>
    <w:rsid w:val="2E3D031C"/>
    <w:rsid w:val="2E457026"/>
    <w:rsid w:val="2E843EEA"/>
    <w:rsid w:val="2EA86437"/>
    <w:rsid w:val="2EAF5439"/>
    <w:rsid w:val="2EB103B1"/>
    <w:rsid w:val="2EE13F10"/>
    <w:rsid w:val="2F0F71E6"/>
    <w:rsid w:val="2F383A5C"/>
    <w:rsid w:val="2F4559EE"/>
    <w:rsid w:val="2F742945"/>
    <w:rsid w:val="2F880DEC"/>
    <w:rsid w:val="2F9D4B14"/>
    <w:rsid w:val="2FBE43F5"/>
    <w:rsid w:val="2FC53C32"/>
    <w:rsid w:val="2FC55B9D"/>
    <w:rsid w:val="2FD157C7"/>
    <w:rsid w:val="300A115E"/>
    <w:rsid w:val="301241C3"/>
    <w:rsid w:val="30296BB8"/>
    <w:rsid w:val="304D2729"/>
    <w:rsid w:val="30576C24"/>
    <w:rsid w:val="307945DD"/>
    <w:rsid w:val="30851FC0"/>
    <w:rsid w:val="309D4655"/>
    <w:rsid w:val="30C026F3"/>
    <w:rsid w:val="313409D0"/>
    <w:rsid w:val="314A0092"/>
    <w:rsid w:val="315145A6"/>
    <w:rsid w:val="315423FA"/>
    <w:rsid w:val="315B7AEC"/>
    <w:rsid w:val="31710789"/>
    <w:rsid w:val="317503B0"/>
    <w:rsid w:val="31D53C4D"/>
    <w:rsid w:val="31F2254D"/>
    <w:rsid w:val="31F71A11"/>
    <w:rsid w:val="31FE12AB"/>
    <w:rsid w:val="32051CDA"/>
    <w:rsid w:val="3207261B"/>
    <w:rsid w:val="320A1195"/>
    <w:rsid w:val="320E382B"/>
    <w:rsid w:val="321A185A"/>
    <w:rsid w:val="321B4537"/>
    <w:rsid w:val="32513A45"/>
    <w:rsid w:val="32B50B2C"/>
    <w:rsid w:val="32C84DFE"/>
    <w:rsid w:val="32FA3DAF"/>
    <w:rsid w:val="332122CC"/>
    <w:rsid w:val="332D5F33"/>
    <w:rsid w:val="3337740D"/>
    <w:rsid w:val="337F1035"/>
    <w:rsid w:val="33805DA1"/>
    <w:rsid w:val="338C56E4"/>
    <w:rsid w:val="33934B2E"/>
    <w:rsid w:val="339441CF"/>
    <w:rsid w:val="33C37075"/>
    <w:rsid w:val="33F14779"/>
    <w:rsid w:val="34062C68"/>
    <w:rsid w:val="341C738A"/>
    <w:rsid w:val="344D2E50"/>
    <w:rsid w:val="348F0A80"/>
    <w:rsid w:val="34A26022"/>
    <w:rsid w:val="34B0567F"/>
    <w:rsid w:val="34B443F6"/>
    <w:rsid w:val="34E12F4E"/>
    <w:rsid w:val="34EB31AA"/>
    <w:rsid w:val="34EC41DF"/>
    <w:rsid w:val="34F9043A"/>
    <w:rsid w:val="35040A33"/>
    <w:rsid w:val="351A24AD"/>
    <w:rsid w:val="35273121"/>
    <w:rsid w:val="352B733E"/>
    <w:rsid w:val="354554F5"/>
    <w:rsid w:val="354E123E"/>
    <w:rsid w:val="354F2AD2"/>
    <w:rsid w:val="35566C29"/>
    <w:rsid w:val="359652C0"/>
    <w:rsid w:val="35A9661A"/>
    <w:rsid w:val="35AF552A"/>
    <w:rsid w:val="35C36B07"/>
    <w:rsid w:val="35C60438"/>
    <w:rsid w:val="360D6591"/>
    <w:rsid w:val="361E2AEF"/>
    <w:rsid w:val="361F2C5E"/>
    <w:rsid w:val="363976F7"/>
    <w:rsid w:val="36681B72"/>
    <w:rsid w:val="366B38CD"/>
    <w:rsid w:val="366E68DA"/>
    <w:rsid w:val="36BD137C"/>
    <w:rsid w:val="36E02E58"/>
    <w:rsid w:val="36F84B57"/>
    <w:rsid w:val="3720190B"/>
    <w:rsid w:val="37293C39"/>
    <w:rsid w:val="3751494E"/>
    <w:rsid w:val="375A24EA"/>
    <w:rsid w:val="37757EA8"/>
    <w:rsid w:val="3784494C"/>
    <w:rsid w:val="37BC00E4"/>
    <w:rsid w:val="37C859C7"/>
    <w:rsid w:val="37D62F7A"/>
    <w:rsid w:val="37E40AE8"/>
    <w:rsid w:val="37FF0329"/>
    <w:rsid w:val="3801173C"/>
    <w:rsid w:val="38060F79"/>
    <w:rsid w:val="381A150A"/>
    <w:rsid w:val="384E5649"/>
    <w:rsid w:val="38746ABC"/>
    <w:rsid w:val="38761BD7"/>
    <w:rsid w:val="3876347B"/>
    <w:rsid w:val="388D15D1"/>
    <w:rsid w:val="38A710B1"/>
    <w:rsid w:val="38AE69D5"/>
    <w:rsid w:val="38FC0060"/>
    <w:rsid w:val="38FC32F5"/>
    <w:rsid w:val="38FD17EE"/>
    <w:rsid w:val="39030A9D"/>
    <w:rsid w:val="39113643"/>
    <w:rsid w:val="392C4597"/>
    <w:rsid w:val="396866FD"/>
    <w:rsid w:val="397E03C2"/>
    <w:rsid w:val="39AF07AB"/>
    <w:rsid w:val="39BB3AC3"/>
    <w:rsid w:val="39DF043A"/>
    <w:rsid w:val="39FE32B3"/>
    <w:rsid w:val="39FF59A7"/>
    <w:rsid w:val="3A06128C"/>
    <w:rsid w:val="3A070DC0"/>
    <w:rsid w:val="3A2065C7"/>
    <w:rsid w:val="3A213653"/>
    <w:rsid w:val="3A34378D"/>
    <w:rsid w:val="3A36160B"/>
    <w:rsid w:val="3A5B5BB7"/>
    <w:rsid w:val="3A6F51D2"/>
    <w:rsid w:val="3AA50AA5"/>
    <w:rsid w:val="3AAF1E5A"/>
    <w:rsid w:val="3AD23179"/>
    <w:rsid w:val="3AEB3C21"/>
    <w:rsid w:val="3AEF3713"/>
    <w:rsid w:val="3AFB6043"/>
    <w:rsid w:val="3B041E40"/>
    <w:rsid w:val="3B191C47"/>
    <w:rsid w:val="3B205806"/>
    <w:rsid w:val="3B295FAA"/>
    <w:rsid w:val="3B5C6A72"/>
    <w:rsid w:val="3B7F2CAA"/>
    <w:rsid w:val="3BA515C0"/>
    <w:rsid w:val="3BBB6DF8"/>
    <w:rsid w:val="3BBE6635"/>
    <w:rsid w:val="3BC9431F"/>
    <w:rsid w:val="3C02696E"/>
    <w:rsid w:val="3C1A13DF"/>
    <w:rsid w:val="3C3A4FEB"/>
    <w:rsid w:val="3C4F0EBB"/>
    <w:rsid w:val="3C635FA0"/>
    <w:rsid w:val="3C86519C"/>
    <w:rsid w:val="3C8659AE"/>
    <w:rsid w:val="3CA66A58"/>
    <w:rsid w:val="3CBE3C7C"/>
    <w:rsid w:val="3CD165D4"/>
    <w:rsid w:val="3CE16532"/>
    <w:rsid w:val="3CF316DB"/>
    <w:rsid w:val="3D39355A"/>
    <w:rsid w:val="3D3C44DD"/>
    <w:rsid w:val="3D5001A7"/>
    <w:rsid w:val="3D5B3EF0"/>
    <w:rsid w:val="3D5C58DF"/>
    <w:rsid w:val="3D9214B7"/>
    <w:rsid w:val="3DB23DD9"/>
    <w:rsid w:val="3DBB2FF1"/>
    <w:rsid w:val="3DD8335F"/>
    <w:rsid w:val="3DF57F08"/>
    <w:rsid w:val="3E143052"/>
    <w:rsid w:val="3E3363C7"/>
    <w:rsid w:val="3E390C78"/>
    <w:rsid w:val="3E3B7B31"/>
    <w:rsid w:val="3E500D27"/>
    <w:rsid w:val="3E573ADE"/>
    <w:rsid w:val="3E823552"/>
    <w:rsid w:val="3EA55E90"/>
    <w:rsid w:val="3EB2553E"/>
    <w:rsid w:val="3ECD0998"/>
    <w:rsid w:val="3ED508CA"/>
    <w:rsid w:val="3F1109BC"/>
    <w:rsid w:val="3F1B7587"/>
    <w:rsid w:val="3F805B16"/>
    <w:rsid w:val="3FA42170"/>
    <w:rsid w:val="3FAF36DB"/>
    <w:rsid w:val="405759DA"/>
    <w:rsid w:val="406A14B3"/>
    <w:rsid w:val="407C15D8"/>
    <w:rsid w:val="409D1B0D"/>
    <w:rsid w:val="40F97CA8"/>
    <w:rsid w:val="41171B69"/>
    <w:rsid w:val="41415E9E"/>
    <w:rsid w:val="41883A8E"/>
    <w:rsid w:val="418A60B4"/>
    <w:rsid w:val="418C651A"/>
    <w:rsid w:val="41B370D6"/>
    <w:rsid w:val="420A6E97"/>
    <w:rsid w:val="420D439A"/>
    <w:rsid w:val="42212582"/>
    <w:rsid w:val="42625CA5"/>
    <w:rsid w:val="42755843"/>
    <w:rsid w:val="42794CE2"/>
    <w:rsid w:val="428704C4"/>
    <w:rsid w:val="42C70708"/>
    <w:rsid w:val="42E0254C"/>
    <w:rsid w:val="42F40D67"/>
    <w:rsid w:val="43066FF8"/>
    <w:rsid w:val="43146FF6"/>
    <w:rsid w:val="433204F8"/>
    <w:rsid w:val="433C3AAA"/>
    <w:rsid w:val="4345322A"/>
    <w:rsid w:val="43480F05"/>
    <w:rsid w:val="43580CE8"/>
    <w:rsid w:val="43600192"/>
    <w:rsid w:val="436F06B1"/>
    <w:rsid w:val="43964A1C"/>
    <w:rsid w:val="439E341B"/>
    <w:rsid w:val="43E22B61"/>
    <w:rsid w:val="44031DB9"/>
    <w:rsid w:val="440700DA"/>
    <w:rsid w:val="44166A5A"/>
    <w:rsid w:val="44320857"/>
    <w:rsid w:val="446E0159"/>
    <w:rsid w:val="447943E7"/>
    <w:rsid w:val="44B41FCD"/>
    <w:rsid w:val="44F46625"/>
    <w:rsid w:val="44F52628"/>
    <w:rsid w:val="454C191C"/>
    <w:rsid w:val="4556652D"/>
    <w:rsid w:val="45846DC9"/>
    <w:rsid w:val="45861251"/>
    <w:rsid w:val="459911EE"/>
    <w:rsid w:val="4599227F"/>
    <w:rsid w:val="45A2455E"/>
    <w:rsid w:val="45BE024B"/>
    <w:rsid w:val="45BE2AD4"/>
    <w:rsid w:val="45C2437E"/>
    <w:rsid w:val="45EA2721"/>
    <w:rsid w:val="460A0745"/>
    <w:rsid w:val="462128E4"/>
    <w:rsid w:val="46300B95"/>
    <w:rsid w:val="463A3C1C"/>
    <w:rsid w:val="466E6ADA"/>
    <w:rsid w:val="46911EDD"/>
    <w:rsid w:val="4699240B"/>
    <w:rsid w:val="46B7014A"/>
    <w:rsid w:val="46ED5CA5"/>
    <w:rsid w:val="46FE4C6E"/>
    <w:rsid w:val="47062AB6"/>
    <w:rsid w:val="471A6376"/>
    <w:rsid w:val="474B03EA"/>
    <w:rsid w:val="475A659D"/>
    <w:rsid w:val="476207DA"/>
    <w:rsid w:val="47944B93"/>
    <w:rsid w:val="47AA594C"/>
    <w:rsid w:val="47B14EAE"/>
    <w:rsid w:val="47C00B3A"/>
    <w:rsid w:val="47C04462"/>
    <w:rsid w:val="47C96CD1"/>
    <w:rsid w:val="47D84F8A"/>
    <w:rsid w:val="47DB6ABB"/>
    <w:rsid w:val="48083448"/>
    <w:rsid w:val="48460696"/>
    <w:rsid w:val="48690DD9"/>
    <w:rsid w:val="486B54EB"/>
    <w:rsid w:val="4887121F"/>
    <w:rsid w:val="48F702B1"/>
    <w:rsid w:val="492910E2"/>
    <w:rsid w:val="492E569F"/>
    <w:rsid w:val="494B446A"/>
    <w:rsid w:val="494E1C27"/>
    <w:rsid w:val="494E5D48"/>
    <w:rsid w:val="49A36AB0"/>
    <w:rsid w:val="49A97E85"/>
    <w:rsid w:val="49D2118A"/>
    <w:rsid w:val="49D92DDD"/>
    <w:rsid w:val="49EF5321"/>
    <w:rsid w:val="49FC381D"/>
    <w:rsid w:val="4A266DE0"/>
    <w:rsid w:val="4A2A4C7A"/>
    <w:rsid w:val="4A347F6C"/>
    <w:rsid w:val="4A444508"/>
    <w:rsid w:val="4A456A14"/>
    <w:rsid w:val="4A640FBC"/>
    <w:rsid w:val="4A66451F"/>
    <w:rsid w:val="4A88728D"/>
    <w:rsid w:val="4A9D0D79"/>
    <w:rsid w:val="4A9D45B8"/>
    <w:rsid w:val="4A9F545E"/>
    <w:rsid w:val="4AAB056F"/>
    <w:rsid w:val="4AB06D26"/>
    <w:rsid w:val="4B08573B"/>
    <w:rsid w:val="4B626F00"/>
    <w:rsid w:val="4BBD1C23"/>
    <w:rsid w:val="4BC53B5B"/>
    <w:rsid w:val="4BE53FE4"/>
    <w:rsid w:val="4C340FD6"/>
    <w:rsid w:val="4C4D4AF8"/>
    <w:rsid w:val="4C744BB3"/>
    <w:rsid w:val="4C851F32"/>
    <w:rsid w:val="4C964045"/>
    <w:rsid w:val="4C9C7CA8"/>
    <w:rsid w:val="4CA30A9C"/>
    <w:rsid w:val="4CD70E50"/>
    <w:rsid w:val="4CDB65A8"/>
    <w:rsid w:val="4CE2366D"/>
    <w:rsid w:val="4D010671"/>
    <w:rsid w:val="4D0526DC"/>
    <w:rsid w:val="4D2812FA"/>
    <w:rsid w:val="4D316B33"/>
    <w:rsid w:val="4D352FBB"/>
    <w:rsid w:val="4D596D5B"/>
    <w:rsid w:val="4D743D8A"/>
    <w:rsid w:val="4D9549A9"/>
    <w:rsid w:val="4DA96C4E"/>
    <w:rsid w:val="4DF70A62"/>
    <w:rsid w:val="4E0614E3"/>
    <w:rsid w:val="4E116C89"/>
    <w:rsid w:val="4E2452B7"/>
    <w:rsid w:val="4E3F2C74"/>
    <w:rsid w:val="4E695109"/>
    <w:rsid w:val="4E992277"/>
    <w:rsid w:val="4E9C3B92"/>
    <w:rsid w:val="4E9D6524"/>
    <w:rsid w:val="4EAD1AF9"/>
    <w:rsid w:val="4EBB043F"/>
    <w:rsid w:val="4EC73C65"/>
    <w:rsid w:val="4ED713AB"/>
    <w:rsid w:val="4EE23C1E"/>
    <w:rsid w:val="4F1913AC"/>
    <w:rsid w:val="4F4F5A65"/>
    <w:rsid w:val="4F6426A9"/>
    <w:rsid w:val="4F7127A7"/>
    <w:rsid w:val="4F792A76"/>
    <w:rsid w:val="4F7A31F5"/>
    <w:rsid w:val="4FB77179"/>
    <w:rsid w:val="4FB92CDA"/>
    <w:rsid w:val="4FBA6088"/>
    <w:rsid w:val="4FE775A6"/>
    <w:rsid w:val="4FF54231"/>
    <w:rsid w:val="50077447"/>
    <w:rsid w:val="50092979"/>
    <w:rsid w:val="502F4C40"/>
    <w:rsid w:val="50343739"/>
    <w:rsid w:val="50623802"/>
    <w:rsid w:val="50652E94"/>
    <w:rsid w:val="508700F4"/>
    <w:rsid w:val="50A970CD"/>
    <w:rsid w:val="50C72D83"/>
    <w:rsid w:val="50EC664D"/>
    <w:rsid w:val="50F25C6E"/>
    <w:rsid w:val="51031D50"/>
    <w:rsid w:val="5163596F"/>
    <w:rsid w:val="51642065"/>
    <w:rsid w:val="516F0D03"/>
    <w:rsid w:val="51895F2D"/>
    <w:rsid w:val="51A0460E"/>
    <w:rsid w:val="51A60230"/>
    <w:rsid w:val="51A823AB"/>
    <w:rsid w:val="51CC648B"/>
    <w:rsid w:val="51CF7841"/>
    <w:rsid w:val="51E202B2"/>
    <w:rsid w:val="52030FE6"/>
    <w:rsid w:val="52065DA2"/>
    <w:rsid w:val="522E4D5D"/>
    <w:rsid w:val="524A71B5"/>
    <w:rsid w:val="52642695"/>
    <w:rsid w:val="5279373F"/>
    <w:rsid w:val="528B1069"/>
    <w:rsid w:val="528B691A"/>
    <w:rsid w:val="528D5BD8"/>
    <w:rsid w:val="528F0DD4"/>
    <w:rsid w:val="52930D7F"/>
    <w:rsid w:val="5296438C"/>
    <w:rsid w:val="52AB2578"/>
    <w:rsid w:val="530C3017"/>
    <w:rsid w:val="530F2B4C"/>
    <w:rsid w:val="53144C5A"/>
    <w:rsid w:val="532E36AE"/>
    <w:rsid w:val="534327B1"/>
    <w:rsid w:val="53AE0CB6"/>
    <w:rsid w:val="53D170F4"/>
    <w:rsid w:val="541C5C72"/>
    <w:rsid w:val="543B6BDD"/>
    <w:rsid w:val="544F1C50"/>
    <w:rsid w:val="54606A92"/>
    <w:rsid w:val="54611A81"/>
    <w:rsid w:val="54DC110F"/>
    <w:rsid w:val="55236751"/>
    <w:rsid w:val="55654739"/>
    <w:rsid w:val="557D655D"/>
    <w:rsid w:val="55846FDD"/>
    <w:rsid w:val="558933C3"/>
    <w:rsid w:val="55B177EA"/>
    <w:rsid w:val="55CD48C4"/>
    <w:rsid w:val="55EA33B8"/>
    <w:rsid w:val="55F34392"/>
    <w:rsid w:val="560C425A"/>
    <w:rsid w:val="56116B32"/>
    <w:rsid w:val="562365CA"/>
    <w:rsid w:val="56340430"/>
    <w:rsid w:val="563F6CB5"/>
    <w:rsid w:val="564B6FA5"/>
    <w:rsid w:val="56581D59"/>
    <w:rsid w:val="568502CA"/>
    <w:rsid w:val="5698486D"/>
    <w:rsid w:val="56A874FB"/>
    <w:rsid w:val="56AA23A1"/>
    <w:rsid w:val="56B0773B"/>
    <w:rsid w:val="56C254B7"/>
    <w:rsid w:val="5709588E"/>
    <w:rsid w:val="571760EF"/>
    <w:rsid w:val="571F7ADE"/>
    <w:rsid w:val="576C2C58"/>
    <w:rsid w:val="57792910"/>
    <w:rsid w:val="5781180D"/>
    <w:rsid w:val="579F0027"/>
    <w:rsid w:val="57C77D46"/>
    <w:rsid w:val="57CF4F1B"/>
    <w:rsid w:val="57D065BB"/>
    <w:rsid w:val="58201757"/>
    <w:rsid w:val="58404F46"/>
    <w:rsid w:val="58514364"/>
    <w:rsid w:val="585818C8"/>
    <w:rsid w:val="585D525A"/>
    <w:rsid w:val="58602168"/>
    <w:rsid w:val="5860738B"/>
    <w:rsid w:val="5865048C"/>
    <w:rsid w:val="58A92235"/>
    <w:rsid w:val="58AB4E89"/>
    <w:rsid w:val="58AD7356"/>
    <w:rsid w:val="58B5550E"/>
    <w:rsid w:val="58BD5C76"/>
    <w:rsid w:val="58C11261"/>
    <w:rsid w:val="58C34E9B"/>
    <w:rsid w:val="58CB74D0"/>
    <w:rsid w:val="58D20175"/>
    <w:rsid w:val="59303772"/>
    <w:rsid w:val="59340E0B"/>
    <w:rsid w:val="59AD7B0E"/>
    <w:rsid w:val="59B31815"/>
    <w:rsid w:val="59D55070"/>
    <w:rsid w:val="59DA18AC"/>
    <w:rsid w:val="59E065B2"/>
    <w:rsid w:val="59E546A4"/>
    <w:rsid w:val="59FD6E5D"/>
    <w:rsid w:val="5A2F5AF5"/>
    <w:rsid w:val="5A4439EB"/>
    <w:rsid w:val="5A637B38"/>
    <w:rsid w:val="5A8D1386"/>
    <w:rsid w:val="5A93303B"/>
    <w:rsid w:val="5AAB12E9"/>
    <w:rsid w:val="5ABB6C3C"/>
    <w:rsid w:val="5AC815C0"/>
    <w:rsid w:val="5ACD77B4"/>
    <w:rsid w:val="5AF95FBA"/>
    <w:rsid w:val="5AFF7905"/>
    <w:rsid w:val="5B1836AE"/>
    <w:rsid w:val="5B326768"/>
    <w:rsid w:val="5B492C91"/>
    <w:rsid w:val="5B563D3F"/>
    <w:rsid w:val="5B5E26D5"/>
    <w:rsid w:val="5B6B15AA"/>
    <w:rsid w:val="5B987BF7"/>
    <w:rsid w:val="5BA23173"/>
    <w:rsid w:val="5BAF6495"/>
    <w:rsid w:val="5BDE2F03"/>
    <w:rsid w:val="5BE9290B"/>
    <w:rsid w:val="5BF25754"/>
    <w:rsid w:val="5C1E13B0"/>
    <w:rsid w:val="5C1E7291"/>
    <w:rsid w:val="5C662A50"/>
    <w:rsid w:val="5C916731"/>
    <w:rsid w:val="5CA620C8"/>
    <w:rsid w:val="5CB35440"/>
    <w:rsid w:val="5CC73DD6"/>
    <w:rsid w:val="5CEA2522"/>
    <w:rsid w:val="5CF2777D"/>
    <w:rsid w:val="5CFF1508"/>
    <w:rsid w:val="5D0D01B7"/>
    <w:rsid w:val="5D2708E3"/>
    <w:rsid w:val="5D664D05"/>
    <w:rsid w:val="5D7C584C"/>
    <w:rsid w:val="5D7F0635"/>
    <w:rsid w:val="5D894E7F"/>
    <w:rsid w:val="5D8D080D"/>
    <w:rsid w:val="5D935CE3"/>
    <w:rsid w:val="5DBF6493"/>
    <w:rsid w:val="5DC05209"/>
    <w:rsid w:val="5DC12605"/>
    <w:rsid w:val="5DD5494D"/>
    <w:rsid w:val="5E06655E"/>
    <w:rsid w:val="5E381A8A"/>
    <w:rsid w:val="5E3A6AA2"/>
    <w:rsid w:val="5E3E4C2D"/>
    <w:rsid w:val="5E5867E1"/>
    <w:rsid w:val="5E674F7E"/>
    <w:rsid w:val="5E874CE8"/>
    <w:rsid w:val="5E9224E3"/>
    <w:rsid w:val="5EB00E5C"/>
    <w:rsid w:val="5ECC354A"/>
    <w:rsid w:val="5ED35331"/>
    <w:rsid w:val="5EE37831"/>
    <w:rsid w:val="5EEB7859"/>
    <w:rsid w:val="5F01547F"/>
    <w:rsid w:val="5F0211D3"/>
    <w:rsid w:val="5F0A3D5F"/>
    <w:rsid w:val="5F213F68"/>
    <w:rsid w:val="5F2F6349"/>
    <w:rsid w:val="5F600D4E"/>
    <w:rsid w:val="5F7425E5"/>
    <w:rsid w:val="5F7D1608"/>
    <w:rsid w:val="5F8E3078"/>
    <w:rsid w:val="5F956DDF"/>
    <w:rsid w:val="5F991667"/>
    <w:rsid w:val="5F9B1E42"/>
    <w:rsid w:val="5FA416F1"/>
    <w:rsid w:val="5FD93954"/>
    <w:rsid w:val="5FDC55D3"/>
    <w:rsid w:val="5FDE0955"/>
    <w:rsid w:val="5FF469EE"/>
    <w:rsid w:val="5FFB0094"/>
    <w:rsid w:val="60160416"/>
    <w:rsid w:val="60160C5E"/>
    <w:rsid w:val="60305CC7"/>
    <w:rsid w:val="604A1238"/>
    <w:rsid w:val="608D5B2E"/>
    <w:rsid w:val="60A62DBA"/>
    <w:rsid w:val="60BE77C1"/>
    <w:rsid w:val="60C03CCF"/>
    <w:rsid w:val="60C14270"/>
    <w:rsid w:val="60D42D03"/>
    <w:rsid w:val="60E62609"/>
    <w:rsid w:val="60E62C9D"/>
    <w:rsid w:val="611B62E0"/>
    <w:rsid w:val="615E501E"/>
    <w:rsid w:val="6180773A"/>
    <w:rsid w:val="61A06374"/>
    <w:rsid w:val="61CF3DB0"/>
    <w:rsid w:val="622470A5"/>
    <w:rsid w:val="62247F4C"/>
    <w:rsid w:val="622D2FAA"/>
    <w:rsid w:val="625D25EA"/>
    <w:rsid w:val="62857C4E"/>
    <w:rsid w:val="6286607D"/>
    <w:rsid w:val="62A62781"/>
    <w:rsid w:val="62B334AF"/>
    <w:rsid w:val="62E05FC6"/>
    <w:rsid w:val="62FD3864"/>
    <w:rsid w:val="63087FBC"/>
    <w:rsid w:val="630F520B"/>
    <w:rsid w:val="63464F7D"/>
    <w:rsid w:val="634B0772"/>
    <w:rsid w:val="636E7A2E"/>
    <w:rsid w:val="63815A2A"/>
    <w:rsid w:val="63BF7E8E"/>
    <w:rsid w:val="63C01CBD"/>
    <w:rsid w:val="63CB0F7F"/>
    <w:rsid w:val="63FC4F9D"/>
    <w:rsid w:val="6401024A"/>
    <w:rsid w:val="64217A61"/>
    <w:rsid w:val="64233CBB"/>
    <w:rsid w:val="643F3D04"/>
    <w:rsid w:val="644204E6"/>
    <w:rsid w:val="64635DFB"/>
    <w:rsid w:val="64642CA5"/>
    <w:rsid w:val="64683A23"/>
    <w:rsid w:val="64942A8F"/>
    <w:rsid w:val="64942E6C"/>
    <w:rsid w:val="64AF3910"/>
    <w:rsid w:val="64BC2C9E"/>
    <w:rsid w:val="64C626B7"/>
    <w:rsid w:val="64C62D94"/>
    <w:rsid w:val="65683151"/>
    <w:rsid w:val="658066C4"/>
    <w:rsid w:val="658405F0"/>
    <w:rsid w:val="65912A7B"/>
    <w:rsid w:val="660428AE"/>
    <w:rsid w:val="66091638"/>
    <w:rsid w:val="660D1E09"/>
    <w:rsid w:val="660E4242"/>
    <w:rsid w:val="662519F4"/>
    <w:rsid w:val="66354951"/>
    <w:rsid w:val="66442670"/>
    <w:rsid w:val="666A2C09"/>
    <w:rsid w:val="6679092A"/>
    <w:rsid w:val="669315AD"/>
    <w:rsid w:val="66BA2385"/>
    <w:rsid w:val="66DB09CF"/>
    <w:rsid w:val="66E96680"/>
    <w:rsid w:val="66F227B6"/>
    <w:rsid w:val="67237A0F"/>
    <w:rsid w:val="67487CFE"/>
    <w:rsid w:val="67695728"/>
    <w:rsid w:val="677038E2"/>
    <w:rsid w:val="677777A9"/>
    <w:rsid w:val="67B43783"/>
    <w:rsid w:val="67B92A72"/>
    <w:rsid w:val="67D547C2"/>
    <w:rsid w:val="67FA0E09"/>
    <w:rsid w:val="680147C8"/>
    <w:rsid w:val="68075EA1"/>
    <w:rsid w:val="681B5C83"/>
    <w:rsid w:val="68233F9E"/>
    <w:rsid w:val="68277A88"/>
    <w:rsid w:val="686831F8"/>
    <w:rsid w:val="6889198F"/>
    <w:rsid w:val="68922214"/>
    <w:rsid w:val="689340A3"/>
    <w:rsid w:val="68A12E72"/>
    <w:rsid w:val="68DC73EC"/>
    <w:rsid w:val="690309F9"/>
    <w:rsid w:val="69054B5C"/>
    <w:rsid w:val="69293200"/>
    <w:rsid w:val="694347AF"/>
    <w:rsid w:val="694F06EB"/>
    <w:rsid w:val="6963607F"/>
    <w:rsid w:val="696403F8"/>
    <w:rsid w:val="69766916"/>
    <w:rsid w:val="698D63CB"/>
    <w:rsid w:val="698F77F4"/>
    <w:rsid w:val="69A20335"/>
    <w:rsid w:val="69B23B9D"/>
    <w:rsid w:val="69BD4C13"/>
    <w:rsid w:val="69E82867"/>
    <w:rsid w:val="6A086F70"/>
    <w:rsid w:val="6A323DA1"/>
    <w:rsid w:val="6A540655"/>
    <w:rsid w:val="6A5B510D"/>
    <w:rsid w:val="6A8D4C80"/>
    <w:rsid w:val="6AA159CB"/>
    <w:rsid w:val="6AA26939"/>
    <w:rsid w:val="6ACB1DCC"/>
    <w:rsid w:val="6AD50437"/>
    <w:rsid w:val="6AE4041A"/>
    <w:rsid w:val="6AEE57CB"/>
    <w:rsid w:val="6AFB18B7"/>
    <w:rsid w:val="6B235CFD"/>
    <w:rsid w:val="6B3030A0"/>
    <w:rsid w:val="6B417EB3"/>
    <w:rsid w:val="6B707214"/>
    <w:rsid w:val="6B781786"/>
    <w:rsid w:val="6B9C69D2"/>
    <w:rsid w:val="6BB104FC"/>
    <w:rsid w:val="6BC75657"/>
    <w:rsid w:val="6BD07E4C"/>
    <w:rsid w:val="6BD126F0"/>
    <w:rsid w:val="6BE1773A"/>
    <w:rsid w:val="6BE35659"/>
    <w:rsid w:val="6C23061A"/>
    <w:rsid w:val="6C253AA6"/>
    <w:rsid w:val="6C2B66F7"/>
    <w:rsid w:val="6C56491E"/>
    <w:rsid w:val="6C5B64F3"/>
    <w:rsid w:val="6CB84F3A"/>
    <w:rsid w:val="6CD40BF2"/>
    <w:rsid w:val="6D05726A"/>
    <w:rsid w:val="6D1F1204"/>
    <w:rsid w:val="6D283CB2"/>
    <w:rsid w:val="6D3974FC"/>
    <w:rsid w:val="6D526817"/>
    <w:rsid w:val="6D673555"/>
    <w:rsid w:val="6D717C1E"/>
    <w:rsid w:val="6D92611A"/>
    <w:rsid w:val="6D981B81"/>
    <w:rsid w:val="6D994274"/>
    <w:rsid w:val="6DB90857"/>
    <w:rsid w:val="6DC267F1"/>
    <w:rsid w:val="6DC8297A"/>
    <w:rsid w:val="6E032FC6"/>
    <w:rsid w:val="6E083615"/>
    <w:rsid w:val="6E0D26B4"/>
    <w:rsid w:val="6E360FB8"/>
    <w:rsid w:val="6E44084F"/>
    <w:rsid w:val="6E4F3DA5"/>
    <w:rsid w:val="6E6F0BB4"/>
    <w:rsid w:val="6E6F1D57"/>
    <w:rsid w:val="6E7A62E4"/>
    <w:rsid w:val="6E9D2927"/>
    <w:rsid w:val="6EB25B0B"/>
    <w:rsid w:val="6EB80BA0"/>
    <w:rsid w:val="6EB84B4A"/>
    <w:rsid w:val="6ED37D90"/>
    <w:rsid w:val="6F00046B"/>
    <w:rsid w:val="6F065AB6"/>
    <w:rsid w:val="6F3364F9"/>
    <w:rsid w:val="6F441647"/>
    <w:rsid w:val="6F4D0F66"/>
    <w:rsid w:val="6F505503"/>
    <w:rsid w:val="6F57424B"/>
    <w:rsid w:val="6F612830"/>
    <w:rsid w:val="6F9E5543"/>
    <w:rsid w:val="6FD10B10"/>
    <w:rsid w:val="6FDB3D7F"/>
    <w:rsid w:val="6FE61F22"/>
    <w:rsid w:val="6FFD00DA"/>
    <w:rsid w:val="702E686B"/>
    <w:rsid w:val="70352925"/>
    <w:rsid w:val="70505871"/>
    <w:rsid w:val="7059136B"/>
    <w:rsid w:val="7067165B"/>
    <w:rsid w:val="706B4405"/>
    <w:rsid w:val="70801B07"/>
    <w:rsid w:val="709A7A5C"/>
    <w:rsid w:val="70A1406F"/>
    <w:rsid w:val="70AA6593"/>
    <w:rsid w:val="70B0465E"/>
    <w:rsid w:val="70FE623D"/>
    <w:rsid w:val="715B3C2A"/>
    <w:rsid w:val="717A163C"/>
    <w:rsid w:val="71803C89"/>
    <w:rsid w:val="718D6ECB"/>
    <w:rsid w:val="71994E64"/>
    <w:rsid w:val="71CA7676"/>
    <w:rsid w:val="71E05943"/>
    <w:rsid w:val="71E616D5"/>
    <w:rsid w:val="71EA7695"/>
    <w:rsid w:val="71EE7FB9"/>
    <w:rsid w:val="72263DC5"/>
    <w:rsid w:val="72536FDC"/>
    <w:rsid w:val="726054D6"/>
    <w:rsid w:val="72697CC3"/>
    <w:rsid w:val="727D4545"/>
    <w:rsid w:val="727D75DF"/>
    <w:rsid w:val="72BB74DD"/>
    <w:rsid w:val="72D36E77"/>
    <w:rsid w:val="72DD2BAD"/>
    <w:rsid w:val="72E04ACF"/>
    <w:rsid w:val="72FB66FD"/>
    <w:rsid w:val="73106242"/>
    <w:rsid w:val="731A5C10"/>
    <w:rsid w:val="732872C5"/>
    <w:rsid w:val="7360086A"/>
    <w:rsid w:val="739A0DC0"/>
    <w:rsid w:val="73B920B2"/>
    <w:rsid w:val="74085669"/>
    <w:rsid w:val="740A4EF9"/>
    <w:rsid w:val="742A2B73"/>
    <w:rsid w:val="743C5C12"/>
    <w:rsid w:val="74412921"/>
    <w:rsid w:val="745744B6"/>
    <w:rsid w:val="7475710D"/>
    <w:rsid w:val="747621BD"/>
    <w:rsid w:val="75061B64"/>
    <w:rsid w:val="75086A21"/>
    <w:rsid w:val="750B356A"/>
    <w:rsid w:val="750C4DDC"/>
    <w:rsid w:val="7510569F"/>
    <w:rsid w:val="756950CA"/>
    <w:rsid w:val="75922EAF"/>
    <w:rsid w:val="75AD28A1"/>
    <w:rsid w:val="75C224B9"/>
    <w:rsid w:val="75FB7A70"/>
    <w:rsid w:val="76013E56"/>
    <w:rsid w:val="760A7D9D"/>
    <w:rsid w:val="76335855"/>
    <w:rsid w:val="763E51CC"/>
    <w:rsid w:val="76465F91"/>
    <w:rsid w:val="766026E6"/>
    <w:rsid w:val="76B770A6"/>
    <w:rsid w:val="76CE7275"/>
    <w:rsid w:val="76E4362B"/>
    <w:rsid w:val="76EF6628"/>
    <w:rsid w:val="770A1659"/>
    <w:rsid w:val="7712242B"/>
    <w:rsid w:val="771F60E4"/>
    <w:rsid w:val="77231D40"/>
    <w:rsid w:val="773A7A8E"/>
    <w:rsid w:val="77825F67"/>
    <w:rsid w:val="77B91A42"/>
    <w:rsid w:val="77C5780E"/>
    <w:rsid w:val="77EB305A"/>
    <w:rsid w:val="782F327E"/>
    <w:rsid w:val="78397A32"/>
    <w:rsid w:val="78A06277"/>
    <w:rsid w:val="78A91184"/>
    <w:rsid w:val="78C64F8E"/>
    <w:rsid w:val="791A1EB8"/>
    <w:rsid w:val="791E4FA3"/>
    <w:rsid w:val="797167CA"/>
    <w:rsid w:val="798E4E1E"/>
    <w:rsid w:val="799E2AB3"/>
    <w:rsid w:val="79A37A59"/>
    <w:rsid w:val="79C61A14"/>
    <w:rsid w:val="79C85435"/>
    <w:rsid w:val="79D16AD3"/>
    <w:rsid w:val="79EE5B89"/>
    <w:rsid w:val="79F05A1B"/>
    <w:rsid w:val="7A020CA3"/>
    <w:rsid w:val="7A067805"/>
    <w:rsid w:val="7A181B27"/>
    <w:rsid w:val="7AA408FA"/>
    <w:rsid w:val="7AC34D04"/>
    <w:rsid w:val="7AD60288"/>
    <w:rsid w:val="7B123707"/>
    <w:rsid w:val="7B236D19"/>
    <w:rsid w:val="7B307625"/>
    <w:rsid w:val="7B347CEC"/>
    <w:rsid w:val="7B576B4E"/>
    <w:rsid w:val="7B761608"/>
    <w:rsid w:val="7B87133C"/>
    <w:rsid w:val="7BBF721F"/>
    <w:rsid w:val="7C105077"/>
    <w:rsid w:val="7C416F95"/>
    <w:rsid w:val="7C4E5B9F"/>
    <w:rsid w:val="7C580760"/>
    <w:rsid w:val="7C8B3404"/>
    <w:rsid w:val="7C8D6ADA"/>
    <w:rsid w:val="7C9C47E0"/>
    <w:rsid w:val="7C9E070C"/>
    <w:rsid w:val="7CBB152F"/>
    <w:rsid w:val="7CF64F02"/>
    <w:rsid w:val="7D030EE0"/>
    <w:rsid w:val="7D1771BF"/>
    <w:rsid w:val="7D2C343C"/>
    <w:rsid w:val="7D4C3183"/>
    <w:rsid w:val="7D9314F6"/>
    <w:rsid w:val="7D99109C"/>
    <w:rsid w:val="7D9C06C0"/>
    <w:rsid w:val="7DAB4741"/>
    <w:rsid w:val="7DBE5AB2"/>
    <w:rsid w:val="7DDB441F"/>
    <w:rsid w:val="7E077DCE"/>
    <w:rsid w:val="7E4B1AB3"/>
    <w:rsid w:val="7E58216F"/>
    <w:rsid w:val="7E58478A"/>
    <w:rsid w:val="7E70415D"/>
    <w:rsid w:val="7E7F1745"/>
    <w:rsid w:val="7E886BD8"/>
    <w:rsid w:val="7E922F1E"/>
    <w:rsid w:val="7E9C1A45"/>
    <w:rsid w:val="7EEF7176"/>
    <w:rsid w:val="7F356E88"/>
    <w:rsid w:val="7F5D7752"/>
    <w:rsid w:val="7F7A668F"/>
    <w:rsid w:val="7F7C1BAA"/>
    <w:rsid w:val="7F7D2AB8"/>
    <w:rsid w:val="7F817243"/>
    <w:rsid w:val="7F91228D"/>
    <w:rsid w:val="7F980D98"/>
    <w:rsid w:val="7FAF30F2"/>
    <w:rsid w:val="7FB528C3"/>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NO"/>
    <w:basedOn w:val="1"/>
    <w:autoRedefine/>
    <w:qFormat/>
    <w:uiPriority w:val="0"/>
    <w:pPr>
      <w:keepLines/>
      <w:ind w:left="1135" w:hanging="851"/>
    </w:pPr>
  </w:style>
  <w:style w:type="paragraph" w:customStyle="1" w:styleId="38">
    <w:name w:val="Doc-comment"/>
    <w:basedOn w:val="1"/>
    <w:next w:val="25"/>
    <w:autoRedefine/>
    <w:qFormat/>
    <w:uiPriority w:val="0"/>
    <w:pPr>
      <w:tabs>
        <w:tab w:val="left" w:pos="1622"/>
      </w:tabs>
      <w:spacing w:before="0"/>
      <w:ind w:left="1622" w:hanging="363"/>
    </w:pPr>
    <w:rPr>
      <w:i/>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oleObject" Target="embeddings/oleObject1.bin"/><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2513</Words>
  <Characters>14885</Characters>
  <Lines>49</Lines>
  <Paragraphs>13</Paragraphs>
  <TotalTime>34</TotalTime>
  <ScaleCrop>false</ScaleCrop>
  <LinksUpToDate>false</LinksUpToDate>
  <CharactersWithSpaces>17416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2024-08-09T08:07:23Z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A0E9B86F37B34586A31BF51F95E38FF9_13</vt:lpwstr>
  </property>
</Properties>
</file>